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27A8B" w14:textId="6283FB2C" w:rsidR="0054188C" w:rsidRDefault="1D3549E6" w:rsidP="000B5446">
      <w:pPr>
        <w:jc w:val="center"/>
        <w:rPr>
          <w:rFonts w:ascii="Verdana" w:hAnsi="Verdana"/>
          <w:b/>
          <w:bCs/>
          <w:sz w:val="28"/>
          <w:szCs w:val="28"/>
        </w:rPr>
      </w:pPr>
      <w:r w:rsidRPr="1D3549E6">
        <w:rPr>
          <w:rFonts w:ascii="Verdana" w:hAnsi="Verdana"/>
          <w:b/>
          <w:bCs/>
          <w:sz w:val="28"/>
          <w:szCs w:val="28"/>
        </w:rPr>
        <w:t>TELAIO FORMULA SAE</w:t>
      </w:r>
    </w:p>
    <w:p w14:paraId="7C47B3C7" w14:textId="77777777" w:rsidR="007F749D" w:rsidRDefault="007F749D">
      <w:pPr>
        <w:rPr>
          <w:rFonts w:ascii="Verdana" w:hAnsi="Verdana"/>
          <w:b/>
          <w:sz w:val="28"/>
          <w:szCs w:val="28"/>
        </w:rPr>
      </w:pPr>
    </w:p>
    <w:p w14:paraId="6772191E" w14:textId="7F1E6F8C" w:rsidR="1D3549E6" w:rsidRDefault="1D3549E6" w:rsidP="1D3549E6">
      <w:pPr>
        <w:jc w:val="both"/>
        <w:rPr>
          <w:rFonts w:ascii="Verdana" w:eastAsia="Verdana" w:hAnsi="Verdana" w:cs="Verdana"/>
        </w:rPr>
      </w:pPr>
      <w:r w:rsidRPr="1D3549E6">
        <w:rPr>
          <w:rFonts w:ascii="Verdana" w:eastAsia="Verdana" w:hAnsi="Verdana" w:cs="Verdana"/>
        </w:rPr>
        <w:t xml:space="preserve">La Formula SAE è una competizione studentesca internazionale, nata in America nel 1981, organizzata dalla SAE International, ovvero la Society of Automotive </w:t>
      </w:r>
      <w:proofErr w:type="spellStart"/>
      <w:r w:rsidRPr="1D3549E6">
        <w:rPr>
          <w:rFonts w:ascii="Verdana" w:eastAsia="Verdana" w:hAnsi="Verdana" w:cs="Verdana"/>
        </w:rPr>
        <w:t>Engineers</w:t>
      </w:r>
      <w:proofErr w:type="spellEnd"/>
      <w:r w:rsidRPr="1D3549E6">
        <w:rPr>
          <w:rFonts w:ascii="Verdana" w:eastAsia="Verdana" w:hAnsi="Verdana" w:cs="Verdana"/>
        </w:rPr>
        <w:t xml:space="preserve">. A tale competizione prendono parte team, composti da studenti universitari, provenienti da diversi paesi, ognuno dei quali si occupa del lavoro di progetto e sviluppo di una monoposto in stile formula. L’evento è suddiviso in verifiche tecniche, prove “statiche” </w:t>
      </w:r>
      <w:proofErr w:type="gramStart"/>
      <w:r w:rsidRPr="1D3549E6">
        <w:rPr>
          <w:rFonts w:ascii="Verdana" w:eastAsia="Verdana" w:hAnsi="Verdana" w:cs="Verdana"/>
        </w:rPr>
        <w:t>e “</w:t>
      </w:r>
      <w:proofErr w:type="gramEnd"/>
      <w:r w:rsidRPr="1D3549E6">
        <w:rPr>
          <w:rFonts w:ascii="Verdana" w:eastAsia="Verdana" w:hAnsi="Verdana" w:cs="Verdana"/>
        </w:rPr>
        <w:t>dinamiche”, durante le quali i giudici ufficiali testano le qualità di design e di efficienza ingegneristica della macchina.</w:t>
      </w:r>
    </w:p>
    <w:p w14:paraId="51FA4872" w14:textId="2B1E96E9" w:rsidR="1D3549E6" w:rsidRDefault="1D3549E6" w:rsidP="1D3549E6">
      <w:pPr>
        <w:rPr>
          <w:rFonts w:ascii="Verdana" w:hAnsi="Verdana"/>
          <w:b/>
          <w:bCs/>
          <w:sz w:val="24"/>
          <w:szCs w:val="24"/>
        </w:rPr>
      </w:pPr>
    </w:p>
    <w:p w14:paraId="5A6BA353" w14:textId="77777777" w:rsidR="00B92101" w:rsidRPr="00CE345C" w:rsidRDefault="00B92101" w:rsidP="00CE345C">
      <w:pPr>
        <w:rPr>
          <w:rFonts w:ascii="Verdana" w:hAnsi="Verdana"/>
          <w:b/>
          <w:sz w:val="24"/>
          <w:szCs w:val="24"/>
        </w:rPr>
      </w:pPr>
      <w:r w:rsidRPr="00CE345C">
        <w:rPr>
          <w:rFonts w:ascii="Verdana" w:hAnsi="Verdana"/>
          <w:b/>
          <w:sz w:val="24"/>
          <w:szCs w:val="24"/>
        </w:rPr>
        <w:t>Verifiche tecniche</w:t>
      </w:r>
    </w:p>
    <w:p w14:paraId="53E9A003" w14:textId="145CCD6D" w:rsidR="00B92101" w:rsidRDefault="1D3549E6" w:rsidP="1D3549E6">
      <w:pPr>
        <w:rPr>
          <w:rFonts w:ascii="Verdana" w:hAnsi="Verdana"/>
        </w:rPr>
      </w:pPr>
      <w:r w:rsidRPr="1D3549E6">
        <w:rPr>
          <w:rFonts w:ascii="Verdana" w:hAnsi="Verdana"/>
        </w:rPr>
        <w:t>Questa prova caratterizza la parte iniziale della gara, in cui si fanno test preliminari sulla vettura prima della messa in pista finale.</w:t>
      </w:r>
    </w:p>
    <w:p w14:paraId="24D70A00" w14:textId="77777777" w:rsidR="00EC0872" w:rsidRDefault="00EC0872" w:rsidP="00B92101">
      <w:pPr>
        <w:rPr>
          <w:rFonts w:ascii="Verdana" w:hAnsi="Verdana"/>
        </w:rPr>
      </w:pPr>
      <w:r>
        <w:rPr>
          <w:rFonts w:ascii="Verdana" w:hAnsi="Verdana"/>
        </w:rPr>
        <w:t>Tra le varie fasi si evidenziano:</w:t>
      </w:r>
    </w:p>
    <w:p w14:paraId="100D69AB" w14:textId="77777777" w:rsidR="00EC0872" w:rsidRDefault="00EC0872" w:rsidP="00EC0872">
      <w:pPr>
        <w:pStyle w:val="Paragrafoelenco"/>
        <w:numPr>
          <w:ilvl w:val="0"/>
          <w:numId w:val="2"/>
        </w:numPr>
        <w:rPr>
          <w:rFonts w:ascii="Verdana" w:hAnsi="Verdana"/>
        </w:rPr>
      </w:pPr>
      <w:r>
        <w:rPr>
          <w:rFonts w:ascii="Verdana" w:hAnsi="Verdana"/>
        </w:rPr>
        <w:t>Tech: rappresenta la fase preliminare in cui viene controllata la conformità della vettura con il regolamento della formula SAE</w:t>
      </w:r>
    </w:p>
    <w:p w14:paraId="127D55CE" w14:textId="77777777" w:rsidR="00EC0872" w:rsidRDefault="00EC0872" w:rsidP="00EC0872">
      <w:pPr>
        <w:pStyle w:val="Paragrafoelenco"/>
        <w:numPr>
          <w:ilvl w:val="0"/>
          <w:numId w:val="2"/>
        </w:numPr>
        <w:rPr>
          <w:rFonts w:ascii="Verdana" w:hAnsi="Verdana"/>
        </w:rPr>
      </w:pPr>
      <w:r>
        <w:rPr>
          <w:rFonts w:ascii="Verdana" w:hAnsi="Verdana"/>
        </w:rPr>
        <w:t>Tilt: la vettura viene posta su una piattaforma e successivamente inclinata di 60° per verificare la corretta tenuta di liquidi</w:t>
      </w:r>
    </w:p>
    <w:p w14:paraId="72F6D328" w14:textId="77777777" w:rsidR="00EC0872" w:rsidRDefault="00EC0872" w:rsidP="00EC0872">
      <w:pPr>
        <w:pStyle w:val="Paragrafoelenco"/>
        <w:numPr>
          <w:ilvl w:val="0"/>
          <w:numId w:val="2"/>
        </w:numPr>
        <w:rPr>
          <w:rFonts w:ascii="Verdana" w:hAnsi="Verdana"/>
        </w:rPr>
      </w:pPr>
      <w:proofErr w:type="spellStart"/>
      <w:r>
        <w:rPr>
          <w:rFonts w:ascii="Verdana" w:hAnsi="Verdana"/>
        </w:rPr>
        <w:t>Noise</w:t>
      </w:r>
      <w:proofErr w:type="spellEnd"/>
      <w:r>
        <w:rPr>
          <w:rFonts w:ascii="Verdana" w:hAnsi="Verdana"/>
        </w:rPr>
        <w:t>: come da regolamento,</w:t>
      </w:r>
      <w:r w:rsidR="0009769E">
        <w:rPr>
          <w:rFonts w:ascii="Verdana" w:hAnsi="Verdana"/>
        </w:rPr>
        <w:t xml:space="preserve"> l’impianto di scarico delle vetture deve rispettare norme riguardanti l’inquinamento acustico, infatti, tramite un fonometro, i giudici si accertano che non vengano superati i 110db</w:t>
      </w:r>
    </w:p>
    <w:p w14:paraId="46BAA722" w14:textId="77777777" w:rsidR="0009769E" w:rsidRDefault="0009769E" w:rsidP="00EC0872">
      <w:pPr>
        <w:pStyle w:val="Paragrafoelenco"/>
        <w:numPr>
          <w:ilvl w:val="0"/>
          <w:numId w:val="2"/>
        </w:numPr>
        <w:rPr>
          <w:rFonts w:ascii="Verdana" w:hAnsi="Verdana"/>
        </w:rPr>
      </w:pPr>
      <w:proofErr w:type="spellStart"/>
      <w:r>
        <w:rPr>
          <w:rFonts w:ascii="Verdana" w:hAnsi="Verdana"/>
        </w:rPr>
        <w:t>Brake</w:t>
      </w:r>
      <w:proofErr w:type="spellEnd"/>
      <w:r>
        <w:rPr>
          <w:rFonts w:ascii="Verdana" w:hAnsi="Verdana"/>
        </w:rPr>
        <w:t>: la monoposto viene frenata con tutte e 4 le ruote e, al contempo, il motore deve rimanere in funzione</w:t>
      </w:r>
    </w:p>
    <w:p w14:paraId="4EAB5A18" w14:textId="77777777" w:rsidR="0009769E" w:rsidRDefault="0009769E" w:rsidP="0009769E">
      <w:pPr>
        <w:rPr>
          <w:rFonts w:ascii="Verdana" w:hAnsi="Verdana"/>
        </w:rPr>
      </w:pPr>
      <w:r>
        <w:rPr>
          <w:rFonts w:ascii="Verdana" w:hAnsi="Verdana"/>
        </w:rPr>
        <w:t xml:space="preserve">A queste prove applicate alla vettura viene affiancata un’ultima che vede protagonista il pilota della vettura stessa: infatti, per motivi di sicurezza esplicitamente riportati nel regolamento, il veicolo deve possedere parametri costruttivi che garantiscano </w:t>
      </w:r>
      <w:r w:rsidR="005372F7">
        <w:rPr>
          <w:rFonts w:ascii="Verdana" w:hAnsi="Verdana"/>
        </w:rPr>
        <w:t>al conducente l’evasione dall’abitacolo in un tempo inferiore a 5 secondi.</w:t>
      </w:r>
    </w:p>
    <w:p w14:paraId="7E32F9E4" w14:textId="24B0C890" w:rsidR="005372F7" w:rsidRDefault="005372F7" w:rsidP="0009769E">
      <w:pPr>
        <w:rPr>
          <w:rFonts w:ascii="Verdana" w:hAnsi="Verdana"/>
        </w:rPr>
      </w:pPr>
      <w:r>
        <w:rPr>
          <w:rFonts w:ascii="Verdana" w:hAnsi="Verdana"/>
        </w:rPr>
        <w:t>Questo test preventivo</w:t>
      </w:r>
      <w:r w:rsidR="00F53177">
        <w:rPr>
          <w:rFonts w:ascii="Verdana" w:hAnsi="Verdana"/>
        </w:rPr>
        <w:t xml:space="preserve">, per la sua </w:t>
      </w:r>
      <w:r>
        <w:rPr>
          <w:rFonts w:ascii="Verdana" w:hAnsi="Verdana"/>
        </w:rPr>
        <w:t>riuscita, necessita non solo di uno studio corretto dell’abitacolo in fase di progettazione, ma anche dell’abilità del pilota.</w:t>
      </w:r>
    </w:p>
    <w:p w14:paraId="2D0B103C" w14:textId="77777777" w:rsidR="007F749D" w:rsidRDefault="007F749D" w:rsidP="0009769E">
      <w:pPr>
        <w:rPr>
          <w:rFonts w:ascii="Verdana" w:hAnsi="Verdana"/>
        </w:rPr>
      </w:pPr>
    </w:p>
    <w:p w14:paraId="600883A8" w14:textId="77777777" w:rsidR="00865C54" w:rsidRDefault="00865C54" w:rsidP="0009769E">
      <w:pPr>
        <w:rPr>
          <w:rFonts w:ascii="Verdana" w:hAnsi="Verdana"/>
          <w:b/>
          <w:sz w:val="24"/>
          <w:szCs w:val="24"/>
        </w:rPr>
      </w:pPr>
      <w:r>
        <w:rPr>
          <w:rFonts w:ascii="Verdana" w:hAnsi="Verdana"/>
          <w:b/>
          <w:sz w:val="24"/>
          <w:szCs w:val="24"/>
        </w:rPr>
        <w:t>Prove statiche</w:t>
      </w:r>
    </w:p>
    <w:p w14:paraId="596C54DB" w14:textId="77777777" w:rsidR="005E3981" w:rsidRDefault="005E3981" w:rsidP="0009769E">
      <w:pPr>
        <w:rPr>
          <w:rFonts w:ascii="Verdana" w:hAnsi="Verdana"/>
        </w:rPr>
      </w:pPr>
      <w:r>
        <w:rPr>
          <w:rFonts w:ascii="Verdana" w:hAnsi="Verdana"/>
        </w:rPr>
        <w:t>Questa fase non prevede l’impiego diretto della vettura, infatti viene esposto il progetto dal punto di vista teorico in tutta la sua completezza.</w:t>
      </w:r>
    </w:p>
    <w:p w14:paraId="76859FFE" w14:textId="59CBC1B8" w:rsidR="1D3549E6" w:rsidRDefault="1D3549E6" w:rsidP="1D3549E6">
      <w:pPr>
        <w:rPr>
          <w:rFonts w:ascii="Verdana" w:hAnsi="Verdana"/>
        </w:rPr>
      </w:pPr>
      <w:r w:rsidRPr="1D3549E6">
        <w:rPr>
          <w:rFonts w:ascii="Verdana" w:hAnsi="Verdana"/>
        </w:rPr>
        <w:t>Anche questa prova è suddivisa in vari step e, per ciascuno di essi, viene associato dalla giuria un punteggio in base alla validità e alla conformità del lavoro svolto.</w:t>
      </w:r>
    </w:p>
    <w:p w14:paraId="78D39AD7" w14:textId="77777777" w:rsidR="007F749D" w:rsidRDefault="007F749D" w:rsidP="1D3549E6">
      <w:pPr>
        <w:rPr>
          <w:rFonts w:ascii="Verdana" w:hAnsi="Verdana"/>
        </w:rPr>
      </w:pPr>
    </w:p>
    <w:p w14:paraId="459DDA2C" w14:textId="6BEBEA23" w:rsidR="1D3549E6" w:rsidRDefault="1D3549E6" w:rsidP="1D3549E6">
      <w:pPr>
        <w:pStyle w:val="Paragrafoelenco"/>
        <w:numPr>
          <w:ilvl w:val="0"/>
          <w:numId w:val="3"/>
        </w:numPr>
      </w:pPr>
      <w:r w:rsidRPr="1D3549E6">
        <w:rPr>
          <w:rFonts w:ascii="Verdana" w:hAnsi="Verdana"/>
        </w:rPr>
        <w:lastRenderedPageBreak/>
        <w:t xml:space="preserve">Cost </w:t>
      </w:r>
      <w:proofErr w:type="spellStart"/>
      <w:r w:rsidRPr="1D3549E6">
        <w:rPr>
          <w:rFonts w:ascii="Verdana" w:hAnsi="Verdana"/>
        </w:rPr>
        <w:t>analysis</w:t>
      </w:r>
      <w:proofErr w:type="spellEnd"/>
      <w:r w:rsidRPr="1D3549E6">
        <w:rPr>
          <w:rFonts w:ascii="Verdana" w:hAnsi="Verdana"/>
        </w:rPr>
        <w:t>: in questa sezione viene presentata ai giudici una distinta completa e precisa di tutti i componenti della vettura, dai materiali ai processi di realizzazione, con i relativi costi di progettazione e produzione.</w:t>
      </w:r>
      <w:r w:rsidRPr="1D3549E6">
        <w:rPr>
          <w:rFonts w:ascii="Verdana" w:eastAsia="Verdana" w:hAnsi="Verdana" w:cs="Verdana"/>
        </w:rPr>
        <w:t xml:space="preserve"> Tale prova consente di valutare non soltanto il costo del prototipo, ma anche l’abilità del team di produrre una stima accurata dei costi.</w:t>
      </w:r>
    </w:p>
    <w:p w14:paraId="38543529" w14:textId="6098D89C" w:rsidR="1D3549E6" w:rsidRDefault="1D3549E6" w:rsidP="1D3549E6">
      <w:pPr>
        <w:pStyle w:val="Paragrafoelenco"/>
        <w:numPr>
          <w:ilvl w:val="0"/>
          <w:numId w:val="3"/>
        </w:numPr>
      </w:pPr>
      <w:r w:rsidRPr="1D3549E6">
        <w:rPr>
          <w:rFonts w:ascii="Verdana" w:hAnsi="Verdana"/>
        </w:rPr>
        <w:t xml:space="preserve">Business </w:t>
      </w:r>
      <w:proofErr w:type="spellStart"/>
      <w:r w:rsidRPr="1D3549E6">
        <w:rPr>
          <w:rFonts w:ascii="Verdana" w:hAnsi="Verdana"/>
        </w:rPr>
        <w:t>presentation</w:t>
      </w:r>
      <w:proofErr w:type="spellEnd"/>
      <w:r w:rsidRPr="1D3549E6">
        <w:rPr>
          <w:rFonts w:ascii="Verdana" w:hAnsi="Verdana"/>
        </w:rPr>
        <w:t xml:space="preserve"> </w:t>
      </w:r>
      <w:proofErr w:type="spellStart"/>
      <w:r w:rsidRPr="1D3549E6">
        <w:rPr>
          <w:rFonts w:ascii="Verdana" w:hAnsi="Verdana"/>
        </w:rPr>
        <w:t>event</w:t>
      </w:r>
      <w:proofErr w:type="spellEnd"/>
      <w:r w:rsidRPr="1D3549E6">
        <w:rPr>
          <w:rFonts w:ascii="Verdana" w:hAnsi="Verdana"/>
        </w:rPr>
        <w:t>: s</w:t>
      </w:r>
      <w:r w:rsidRPr="1D3549E6">
        <w:rPr>
          <w:rFonts w:ascii="Verdana" w:eastAsia="Verdana" w:hAnsi="Verdana" w:cs="Verdana"/>
        </w:rPr>
        <w:t>i presenta un piano economico - finanziario finalizzato alla commercializzazione del prodotto, simulando la vendita della monoposto sul mercato reale, affrontando aspetti quali marketing e analisi dei costi. La commissione, composta da giudici provenienti dal settore dell’economia aziendale, si propone come un gruppo di investitori che devono essere convinti dalla validità del prodotto, dal piano finanziario e dal piano commerciale.</w:t>
      </w:r>
    </w:p>
    <w:p w14:paraId="73AE9E93" w14:textId="77D9943F" w:rsidR="00E36447" w:rsidRDefault="1D3549E6" w:rsidP="1D3549E6">
      <w:pPr>
        <w:pStyle w:val="Paragrafoelenco"/>
        <w:numPr>
          <w:ilvl w:val="0"/>
          <w:numId w:val="3"/>
        </w:numPr>
        <w:rPr>
          <w:rFonts w:ascii="Verdana" w:hAnsi="Verdana"/>
        </w:rPr>
      </w:pPr>
      <w:r w:rsidRPr="1D3549E6">
        <w:rPr>
          <w:rFonts w:ascii="Verdana" w:hAnsi="Verdana"/>
        </w:rPr>
        <w:t>Engineering design: vengono presentate con opportuna documentazione e discusse le scelte progettuali effettuate sulla vettura</w:t>
      </w:r>
    </w:p>
    <w:p w14:paraId="7119255A" w14:textId="77777777" w:rsidR="007F749D" w:rsidRPr="007F749D" w:rsidRDefault="007F749D" w:rsidP="007F749D">
      <w:pPr>
        <w:rPr>
          <w:rFonts w:ascii="Verdana" w:hAnsi="Verdana"/>
        </w:rPr>
      </w:pPr>
    </w:p>
    <w:p w14:paraId="5A3373AE" w14:textId="77777777" w:rsidR="00E36447" w:rsidRDefault="00E36447" w:rsidP="00E36447">
      <w:pPr>
        <w:rPr>
          <w:rFonts w:ascii="Verdana" w:hAnsi="Verdana"/>
          <w:b/>
          <w:sz w:val="24"/>
          <w:szCs w:val="24"/>
        </w:rPr>
      </w:pPr>
      <w:r w:rsidRPr="00E36447">
        <w:rPr>
          <w:rFonts w:ascii="Verdana" w:hAnsi="Verdana"/>
          <w:b/>
          <w:sz w:val="24"/>
          <w:szCs w:val="24"/>
        </w:rPr>
        <w:t>Prove dinamiche</w:t>
      </w:r>
    </w:p>
    <w:p w14:paraId="23CEAE6E" w14:textId="77777777" w:rsidR="00E36447" w:rsidRDefault="00E36447" w:rsidP="00E36447">
      <w:pPr>
        <w:rPr>
          <w:rFonts w:ascii="Verdana" w:hAnsi="Verdana"/>
        </w:rPr>
      </w:pPr>
      <w:r>
        <w:rPr>
          <w:rFonts w:ascii="Verdana" w:hAnsi="Verdana"/>
        </w:rPr>
        <w:t>Quest’ultima sezione prevede l’impiego diretto della vettura, sottoposta a prove di varia natura.</w:t>
      </w:r>
    </w:p>
    <w:p w14:paraId="3E0BDE99" w14:textId="77777777" w:rsidR="00E36447" w:rsidRDefault="00E36447" w:rsidP="00E36447">
      <w:pPr>
        <w:rPr>
          <w:rFonts w:ascii="Verdana" w:hAnsi="Verdana"/>
        </w:rPr>
      </w:pPr>
      <w:r>
        <w:rPr>
          <w:rFonts w:ascii="Verdana" w:hAnsi="Verdana"/>
        </w:rPr>
        <w:t>Come per le prove statiche, anche in queste è previsto l’assegnazione di un punteggio da parte della giuria.</w:t>
      </w:r>
    </w:p>
    <w:p w14:paraId="3BE09F66" w14:textId="77777777" w:rsidR="00E36447" w:rsidRDefault="00E36447" w:rsidP="00E36447">
      <w:pPr>
        <w:rPr>
          <w:rFonts w:ascii="Verdana" w:hAnsi="Verdana"/>
        </w:rPr>
      </w:pPr>
      <w:r>
        <w:rPr>
          <w:rFonts w:ascii="Verdana" w:hAnsi="Verdana"/>
        </w:rPr>
        <w:t>Le prove dinamiche sono suddivise in step</w:t>
      </w:r>
      <w:r w:rsidR="00164C47">
        <w:rPr>
          <w:rFonts w:ascii="Verdana" w:hAnsi="Verdana"/>
        </w:rPr>
        <w:t xml:space="preserve"> nei quali la vettura viene impiegata per portare alla luce vari suoi aspetti.</w:t>
      </w:r>
    </w:p>
    <w:p w14:paraId="31F7B48B" w14:textId="26D54311" w:rsidR="00164C47" w:rsidRDefault="1D3549E6" w:rsidP="1D3549E6">
      <w:pPr>
        <w:pStyle w:val="Paragrafoelenco"/>
        <w:numPr>
          <w:ilvl w:val="0"/>
          <w:numId w:val="4"/>
        </w:numPr>
        <w:rPr>
          <w:rFonts w:ascii="Verdana" w:hAnsi="Verdana"/>
        </w:rPr>
      </w:pPr>
      <w:r w:rsidRPr="1D3549E6">
        <w:rPr>
          <w:rFonts w:ascii="Verdana" w:hAnsi="Verdana"/>
        </w:rPr>
        <w:t>Acceleration: prevede un tratto rettilineo di 75m in cui la monoposto deve accelerare da fermo nel minor tempo possibile</w:t>
      </w:r>
    </w:p>
    <w:p w14:paraId="718649A3" w14:textId="525F0EE1" w:rsidR="1D3549E6" w:rsidRDefault="1D3549E6" w:rsidP="1D3549E6">
      <w:pPr>
        <w:pStyle w:val="Paragrafoelenco"/>
        <w:numPr>
          <w:ilvl w:val="0"/>
          <w:numId w:val="4"/>
        </w:numPr>
      </w:pPr>
      <w:proofErr w:type="spellStart"/>
      <w:r w:rsidRPr="1D3549E6">
        <w:rPr>
          <w:rFonts w:ascii="Verdana" w:hAnsi="Verdana"/>
        </w:rPr>
        <w:t>Skidpad</w:t>
      </w:r>
      <w:proofErr w:type="spellEnd"/>
      <w:r w:rsidRPr="1D3549E6">
        <w:rPr>
          <w:rFonts w:ascii="Verdana" w:hAnsi="Verdana"/>
        </w:rPr>
        <w:t>: c</w:t>
      </w:r>
      <w:r w:rsidRPr="1D3549E6">
        <w:rPr>
          <w:rFonts w:ascii="Verdana" w:eastAsia="Verdana" w:hAnsi="Verdana" w:cs="Verdana"/>
        </w:rPr>
        <w:t>ircuito ad “8” che permette di valutare il comportamento della vettura in curva e di verificarne la tenuta laterale</w:t>
      </w:r>
    </w:p>
    <w:p w14:paraId="12DB745E" w14:textId="738CE1BA" w:rsidR="1D3549E6" w:rsidRDefault="1D3549E6" w:rsidP="1D3549E6">
      <w:pPr>
        <w:pStyle w:val="Paragrafoelenco"/>
        <w:numPr>
          <w:ilvl w:val="0"/>
          <w:numId w:val="4"/>
        </w:numPr>
      </w:pPr>
      <w:r w:rsidRPr="1D3549E6">
        <w:rPr>
          <w:rFonts w:ascii="Verdana" w:hAnsi="Verdana"/>
        </w:rPr>
        <w:t>Autocross: g</w:t>
      </w:r>
      <w:r w:rsidRPr="1D3549E6">
        <w:rPr>
          <w:rFonts w:ascii="Verdana" w:eastAsia="Verdana" w:hAnsi="Verdana" w:cs="Verdana"/>
        </w:rPr>
        <w:t>iro secco di 1 km nel quale il pilota deve esprimere le capacità di sprint, la tenuta di strada e la maneggevolezza della monoposto; viene adottato per stabilire il punteggio della prova ma anche l’ordine di partenza per la prova successiva</w:t>
      </w:r>
    </w:p>
    <w:p w14:paraId="52264210" w14:textId="0E3FFD2A" w:rsidR="1D3549E6" w:rsidRDefault="1D3549E6" w:rsidP="1D3549E6">
      <w:pPr>
        <w:pStyle w:val="Paragrafoelenco"/>
        <w:numPr>
          <w:ilvl w:val="0"/>
          <w:numId w:val="4"/>
        </w:numPr>
      </w:pPr>
      <w:r w:rsidRPr="1D3549E6">
        <w:rPr>
          <w:rFonts w:ascii="Verdana" w:hAnsi="Verdana"/>
        </w:rPr>
        <w:t xml:space="preserve">Endurance &amp; </w:t>
      </w:r>
      <w:proofErr w:type="spellStart"/>
      <w:r w:rsidRPr="1D3549E6">
        <w:rPr>
          <w:rFonts w:ascii="Verdana" w:hAnsi="Verdana"/>
        </w:rPr>
        <w:t>Fuel</w:t>
      </w:r>
      <w:proofErr w:type="spellEnd"/>
      <w:r w:rsidRPr="1D3549E6">
        <w:rPr>
          <w:rFonts w:ascii="Verdana" w:hAnsi="Verdana"/>
        </w:rPr>
        <w:t xml:space="preserve"> </w:t>
      </w:r>
      <w:proofErr w:type="spellStart"/>
      <w:r w:rsidRPr="1D3549E6">
        <w:rPr>
          <w:rFonts w:ascii="Verdana" w:hAnsi="Verdana"/>
        </w:rPr>
        <w:t>Efficiency</w:t>
      </w:r>
      <w:proofErr w:type="spellEnd"/>
      <w:r w:rsidRPr="1D3549E6">
        <w:rPr>
          <w:rFonts w:ascii="Verdana" w:hAnsi="Verdana"/>
        </w:rPr>
        <w:t>:</w:t>
      </w:r>
      <w:r w:rsidRPr="1D3549E6">
        <w:rPr>
          <w:rFonts w:ascii="Verdana" w:eastAsia="Verdana" w:hAnsi="Verdana" w:cs="Verdana"/>
        </w:rPr>
        <w:t xml:space="preserve"> rappresenta la prova principale e conclusiva dell’evento, atta a valutare le performance complessive del mezzo in termini di prestazione assoluta e di affidabilità. Seguendo l’ordine di partenza stilato mediante la classifica dell’Autocross, le vetture devono percorrere un circuito misto di 22 km, con un cambio pilota a metà della distanza complessiva. Al termine della prova di endurance, durante la quale non è possibile effettuare rifornimento di carburante, né intervenire sul veicolo in alcun modo, la vettura viene portata a rifornimento e viene valutato il consumo complessivo ponendolo in correlazione con la prestazione assoluta, attribuendo cosi al team un punteggio relativo alla “</w:t>
      </w:r>
      <w:proofErr w:type="spellStart"/>
      <w:r w:rsidRPr="1D3549E6">
        <w:rPr>
          <w:rFonts w:ascii="Verdana" w:eastAsia="Verdana" w:hAnsi="Verdana" w:cs="Verdana"/>
        </w:rPr>
        <w:t>fuel</w:t>
      </w:r>
      <w:proofErr w:type="spellEnd"/>
      <w:r w:rsidRPr="1D3549E6">
        <w:rPr>
          <w:rFonts w:ascii="Verdana" w:eastAsia="Verdana" w:hAnsi="Verdana" w:cs="Verdana"/>
        </w:rPr>
        <w:t xml:space="preserve"> </w:t>
      </w:r>
      <w:proofErr w:type="spellStart"/>
      <w:r w:rsidRPr="1D3549E6">
        <w:rPr>
          <w:rFonts w:ascii="Verdana" w:eastAsia="Verdana" w:hAnsi="Verdana" w:cs="Verdana"/>
        </w:rPr>
        <w:t>Efficiency</w:t>
      </w:r>
      <w:proofErr w:type="spellEnd"/>
      <w:r w:rsidRPr="1D3549E6">
        <w:rPr>
          <w:rFonts w:ascii="Verdana" w:eastAsia="Verdana" w:hAnsi="Verdana" w:cs="Verdana"/>
        </w:rPr>
        <w:t>”.</w:t>
      </w:r>
    </w:p>
    <w:p w14:paraId="4CA3A1B7" w14:textId="6B35A99C" w:rsidR="1D3549E6" w:rsidRDefault="1D3549E6" w:rsidP="1D3549E6">
      <w:pPr>
        <w:rPr>
          <w:rFonts w:ascii="Verdana" w:eastAsia="Verdana" w:hAnsi="Verdana" w:cs="Verdana"/>
        </w:rPr>
      </w:pPr>
    </w:p>
    <w:p w14:paraId="587095B5" w14:textId="088FE92A" w:rsidR="00164C47" w:rsidRDefault="00CE345C" w:rsidP="00E36447">
      <w:pPr>
        <w:rPr>
          <w:rFonts w:ascii="Verdana" w:hAnsi="Verdana"/>
          <w:b/>
          <w:sz w:val="24"/>
          <w:szCs w:val="24"/>
        </w:rPr>
      </w:pPr>
      <w:r w:rsidRPr="00CE345C">
        <w:rPr>
          <w:rFonts w:ascii="Verdana" w:hAnsi="Verdana"/>
          <w:b/>
          <w:sz w:val="24"/>
          <w:szCs w:val="24"/>
        </w:rPr>
        <w:lastRenderedPageBreak/>
        <w:t xml:space="preserve">Regolamento </w:t>
      </w:r>
    </w:p>
    <w:p w14:paraId="2474ADE4" w14:textId="0BE69324" w:rsidR="00CE345C" w:rsidRDefault="1D3549E6" w:rsidP="1D3549E6">
      <w:pPr>
        <w:rPr>
          <w:rFonts w:ascii="Verdana" w:hAnsi="Verdana"/>
        </w:rPr>
      </w:pPr>
      <w:r w:rsidRPr="1D3549E6">
        <w:rPr>
          <w:rFonts w:ascii="Verdana" w:hAnsi="Verdana"/>
        </w:rPr>
        <w:t xml:space="preserve">Una fase imprescindibile per la realizzazione di una monoposto per la Formula SAE riguarda lo studio accurato del regolamento di questa competizione, un vero e proprio regolamento Formula riguardante una monoposto a ruote scoperte. Vi sono delle piccole modifiche nei regolamenti della Formula </w:t>
      </w:r>
      <w:proofErr w:type="spellStart"/>
      <w:r w:rsidRPr="1D3549E6">
        <w:rPr>
          <w:rFonts w:ascii="Verdana" w:hAnsi="Verdana"/>
        </w:rPr>
        <w:t>Student</w:t>
      </w:r>
      <w:proofErr w:type="spellEnd"/>
      <w:r w:rsidRPr="1D3549E6">
        <w:rPr>
          <w:rFonts w:ascii="Verdana" w:hAnsi="Verdana"/>
        </w:rPr>
        <w:t xml:space="preserve"> tedesca, della Formula UK in Regno Unito e varie altre, ma la maggior parte delle regole generali vale per tutte le competizioni.</w:t>
      </w:r>
    </w:p>
    <w:p w14:paraId="092DF0EC" w14:textId="3B200500" w:rsidR="00CE345C" w:rsidRDefault="1D3549E6" w:rsidP="1D3549E6">
      <w:pPr>
        <w:rPr>
          <w:rFonts w:ascii="Verdana" w:hAnsi="Verdana"/>
        </w:rPr>
      </w:pPr>
      <w:r w:rsidRPr="1D3549E6">
        <w:rPr>
          <w:rFonts w:ascii="Verdana" w:hAnsi="Verdana"/>
        </w:rPr>
        <w:t>Un punto principale è esposto nell’articolo 1.2, in cui viene esplicitato l’obiettivo primario della Formula SAE, ossia la produzione di una vettura prototipale atta all’uso competitivo non professionale.</w:t>
      </w:r>
    </w:p>
    <w:p w14:paraId="68D23EA8" w14:textId="6F947693" w:rsidR="000B5446" w:rsidRDefault="1D3549E6" w:rsidP="1D3549E6">
      <w:pPr>
        <w:rPr>
          <w:rFonts w:ascii="Verdana" w:hAnsi="Verdana"/>
        </w:rPr>
      </w:pPr>
      <w:r w:rsidRPr="1D3549E6">
        <w:rPr>
          <w:rFonts w:ascii="Verdana" w:hAnsi="Verdana"/>
        </w:rPr>
        <w:t>Proprio per questo motivo, trattandosi di una produzione di vettura per il pubblico, deve essere adatta ad un vasto range di stature: come esposto dall’articolo 1.2 2.2, il veicolo deve avere un abitacolo consono per accogliere piloti dal 5° percentile femmi</w:t>
      </w:r>
      <w:r w:rsidR="000B5446">
        <w:rPr>
          <w:rFonts w:ascii="Verdana" w:hAnsi="Verdana"/>
        </w:rPr>
        <w:t>nile al 95° percentile maschile.</w:t>
      </w:r>
    </w:p>
    <w:p w14:paraId="34D57536" w14:textId="09EEADA3" w:rsidR="00446374" w:rsidRPr="00C45B4E" w:rsidRDefault="000B5446" w:rsidP="1D3549E6">
      <w:pPr>
        <w:rPr>
          <w:rFonts w:ascii="Verdana" w:hAnsi="Verdana"/>
        </w:rPr>
      </w:pPr>
      <w:r>
        <w:rPr>
          <w:rFonts w:ascii="Verdana" w:hAnsi="Verdana"/>
        </w:rPr>
        <w:t>I progettisti devono far sì</w:t>
      </w:r>
      <w:r w:rsidR="1D3549E6" w:rsidRPr="1D3549E6">
        <w:rPr>
          <w:rFonts w:ascii="Verdana" w:hAnsi="Verdana"/>
        </w:rPr>
        <w:t xml:space="preserve"> che la vettura rispetti queste caratteristiche strutturali non solo dal punto di vista del comfort, ma soprattutto per quanto riguarda la sicurezza: infatti, l’abilità del progettista viene espressa nella capacità di ottenere un abitacolo conforme mantenendo le misure totali della monoposto contenute.</w:t>
      </w:r>
    </w:p>
    <w:p w14:paraId="60DEB197" w14:textId="7B6C5061" w:rsidR="000F21C3" w:rsidRDefault="009025DF" w:rsidP="0009769E">
      <w:pPr>
        <w:rPr>
          <w:rFonts w:ascii="Verdana" w:hAnsi="Verdana"/>
        </w:rPr>
      </w:pPr>
      <w:r>
        <w:rPr>
          <w:rFonts w:ascii="Verdana" w:hAnsi="Verdana"/>
        </w:rPr>
        <w:t>L’articolo 3 del regolamento, invece, tratta in varie sotto-parti la progettazione della cella del pilota, probabilmente il punto più delicato poiché alle soluzioni costruttive si deve affiancare in modo particolare il tema sicurezza e protezione.</w:t>
      </w:r>
    </w:p>
    <w:p w14:paraId="69D2A4D8" w14:textId="06AF3D8E" w:rsidR="0009702D" w:rsidRDefault="1D3549E6" w:rsidP="1D3549E6">
      <w:pPr>
        <w:rPr>
          <w:rFonts w:ascii="Verdana" w:hAnsi="Verdana"/>
        </w:rPr>
      </w:pPr>
      <w:r w:rsidRPr="1D3549E6">
        <w:rPr>
          <w:rFonts w:ascii="Verdana" w:hAnsi="Verdana"/>
        </w:rPr>
        <w:t xml:space="preserve">In generale, la struttura richiesta prevede l’uso di due </w:t>
      </w:r>
      <w:proofErr w:type="spellStart"/>
      <w:r w:rsidRPr="1D3549E6">
        <w:rPr>
          <w:rFonts w:ascii="Verdana" w:hAnsi="Verdana"/>
          <w:i/>
          <w:iCs/>
        </w:rPr>
        <w:t>roll</w:t>
      </w:r>
      <w:proofErr w:type="spellEnd"/>
      <w:r w:rsidRPr="1D3549E6">
        <w:rPr>
          <w:rFonts w:ascii="Verdana" w:hAnsi="Verdana"/>
          <w:i/>
          <w:iCs/>
        </w:rPr>
        <w:t xml:space="preserve"> </w:t>
      </w:r>
      <w:proofErr w:type="spellStart"/>
      <w:r w:rsidRPr="1D3549E6">
        <w:rPr>
          <w:rFonts w:ascii="Verdana" w:hAnsi="Verdana"/>
          <w:i/>
          <w:iCs/>
        </w:rPr>
        <w:t>hoops</w:t>
      </w:r>
      <w:proofErr w:type="spellEnd"/>
      <w:r w:rsidRPr="1D3549E6">
        <w:rPr>
          <w:rFonts w:ascii="Verdana" w:hAnsi="Verdana"/>
        </w:rPr>
        <w:t xml:space="preserve">, un </w:t>
      </w:r>
      <w:proofErr w:type="spellStart"/>
      <w:r w:rsidRPr="1D3549E6">
        <w:rPr>
          <w:rFonts w:ascii="Verdana" w:hAnsi="Verdana"/>
          <w:i/>
          <w:iCs/>
        </w:rPr>
        <w:t>bulkhead</w:t>
      </w:r>
      <w:proofErr w:type="spellEnd"/>
      <w:r w:rsidRPr="1D3549E6">
        <w:rPr>
          <w:rFonts w:ascii="Verdana" w:hAnsi="Verdana"/>
        </w:rPr>
        <w:t xml:space="preserve"> frontale con sistema di attenuazione di impatto e una struttura per l’impatto laterale. Ogni membro del telaio deve essere opportunamente triangolato.</w:t>
      </w:r>
    </w:p>
    <w:p w14:paraId="602CBA57" w14:textId="1F112CFD" w:rsidR="1D3549E6" w:rsidRDefault="1D3549E6" w:rsidP="1D3549E6">
      <w:pPr>
        <w:rPr>
          <w:rFonts w:ascii="Verdana" w:hAnsi="Verdana"/>
        </w:rPr>
      </w:pPr>
    </w:p>
    <w:p w14:paraId="5D7B5F49" w14:textId="53605676" w:rsidR="1D3549E6" w:rsidRDefault="00EE6FF4" w:rsidP="1D3549E6">
      <w:pPr>
        <w:jc w:val="center"/>
        <w:rPr>
          <w:rFonts w:ascii="Verdana" w:hAnsi="Verdana"/>
        </w:rPr>
      </w:pPr>
      <w:r>
        <w:rPr>
          <w:noProof/>
          <w:lang w:eastAsia="it-IT"/>
        </w:rPr>
        <w:drawing>
          <wp:inline distT="0" distB="0" distL="0" distR="0" wp14:anchorId="5B544344" wp14:editId="49F730FD">
            <wp:extent cx="4402986" cy="172051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8953" t="40414" r="34056" b="33888"/>
                    <a:stretch/>
                  </pic:blipFill>
                  <pic:spPr bwMode="auto">
                    <a:xfrm>
                      <a:off x="0" y="0"/>
                      <a:ext cx="4402986" cy="1720513"/>
                    </a:xfrm>
                    <a:prstGeom prst="rect">
                      <a:avLst/>
                    </a:prstGeom>
                    <a:ln>
                      <a:noFill/>
                    </a:ln>
                    <a:extLst>
                      <a:ext uri="{53640926-AAD7-44D8-BBD7-CCE9431645EC}">
                        <a14:shadowObscured xmlns:a14="http://schemas.microsoft.com/office/drawing/2010/main"/>
                      </a:ext>
                    </a:extLst>
                  </pic:spPr>
                </pic:pic>
              </a:graphicData>
            </a:graphic>
          </wp:inline>
        </w:drawing>
      </w:r>
    </w:p>
    <w:p w14:paraId="673EEFA7" w14:textId="7C2402C9" w:rsidR="1D3549E6" w:rsidRDefault="1D3549E6" w:rsidP="1D3549E6">
      <w:pPr>
        <w:rPr>
          <w:rFonts w:ascii="Verdana" w:hAnsi="Verdana"/>
        </w:rPr>
      </w:pPr>
    </w:p>
    <w:p w14:paraId="05FEE88D" w14:textId="77777777" w:rsidR="00476AD7" w:rsidRDefault="00476AD7" w:rsidP="0009769E">
      <w:pPr>
        <w:rPr>
          <w:rFonts w:ascii="Verdana" w:hAnsi="Verdana"/>
        </w:rPr>
      </w:pPr>
    </w:p>
    <w:p w14:paraId="738F9D65" w14:textId="77777777" w:rsidR="00476AD7" w:rsidRDefault="00476AD7" w:rsidP="0009769E">
      <w:pPr>
        <w:rPr>
          <w:rFonts w:ascii="Verdana" w:hAnsi="Verdana"/>
        </w:rPr>
      </w:pPr>
    </w:p>
    <w:p w14:paraId="1D46344F" w14:textId="77777777" w:rsidR="00476AD7" w:rsidRDefault="00476AD7" w:rsidP="0009769E">
      <w:pPr>
        <w:rPr>
          <w:rFonts w:ascii="Verdana" w:hAnsi="Verdana"/>
        </w:rPr>
      </w:pPr>
    </w:p>
    <w:p w14:paraId="4125BFD6" w14:textId="27AFC5DB" w:rsidR="0009702D" w:rsidRDefault="0009702D" w:rsidP="0009769E">
      <w:pPr>
        <w:rPr>
          <w:rFonts w:ascii="Verdana" w:hAnsi="Verdana"/>
        </w:rPr>
      </w:pPr>
      <w:r>
        <w:rPr>
          <w:rFonts w:ascii="Verdana" w:hAnsi="Verdana"/>
        </w:rPr>
        <w:lastRenderedPageBreak/>
        <w:t>La struttura primaria è composta da:</w:t>
      </w:r>
    </w:p>
    <w:p w14:paraId="3852DADB" w14:textId="095E38FC" w:rsidR="0009702D" w:rsidRDefault="0009702D" w:rsidP="0009702D">
      <w:pPr>
        <w:pStyle w:val="Paragrafoelenco"/>
        <w:numPr>
          <w:ilvl w:val="0"/>
          <w:numId w:val="5"/>
        </w:numPr>
        <w:rPr>
          <w:rFonts w:ascii="Verdana" w:hAnsi="Verdana"/>
        </w:rPr>
      </w:pPr>
      <w:proofErr w:type="spellStart"/>
      <w:r>
        <w:rPr>
          <w:rFonts w:ascii="Verdana" w:hAnsi="Verdana"/>
        </w:rPr>
        <w:t>Main</w:t>
      </w:r>
      <w:proofErr w:type="spellEnd"/>
      <w:r>
        <w:rPr>
          <w:rFonts w:ascii="Verdana" w:hAnsi="Verdana"/>
        </w:rPr>
        <w:t xml:space="preserve"> </w:t>
      </w:r>
      <w:proofErr w:type="spellStart"/>
      <w:r>
        <w:rPr>
          <w:rFonts w:ascii="Verdana" w:hAnsi="Verdana"/>
        </w:rPr>
        <w:t>hoop</w:t>
      </w:r>
      <w:proofErr w:type="spellEnd"/>
      <w:r w:rsidR="00476AD7">
        <w:rPr>
          <w:rFonts w:ascii="Verdana" w:hAnsi="Verdana"/>
        </w:rPr>
        <w:t>: elemento realizzato in tubo unico, è atto alla protezione del pilota in caso di ribaltamento del veicolo-</w:t>
      </w:r>
    </w:p>
    <w:p w14:paraId="06D0CBAC" w14:textId="77777777" w:rsidR="00476AD7" w:rsidRDefault="00476AD7" w:rsidP="00476AD7">
      <w:pPr>
        <w:pStyle w:val="Paragrafoelenco"/>
        <w:rPr>
          <w:rFonts w:ascii="Verdana" w:hAnsi="Verdana"/>
        </w:rPr>
      </w:pPr>
    </w:p>
    <w:p w14:paraId="013D88DC" w14:textId="2C319FEB" w:rsidR="0009702D" w:rsidRDefault="0009702D" w:rsidP="0009702D">
      <w:pPr>
        <w:pStyle w:val="Paragrafoelenco"/>
        <w:numPr>
          <w:ilvl w:val="0"/>
          <w:numId w:val="5"/>
        </w:numPr>
        <w:rPr>
          <w:rFonts w:ascii="Verdana" w:hAnsi="Verdana"/>
        </w:rPr>
      </w:pPr>
      <w:r>
        <w:rPr>
          <w:rFonts w:ascii="Verdana" w:hAnsi="Verdana"/>
        </w:rPr>
        <w:t xml:space="preserve">Front </w:t>
      </w:r>
      <w:proofErr w:type="spellStart"/>
      <w:proofErr w:type="gramStart"/>
      <w:r>
        <w:rPr>
          <w:rFonts w:ascii="Verdana" w:hAnsi="Verdana"/>
        </w:rPr>
        <w:t>hoop</w:t>
      </w:r>
      <w:proofErr w:type="spellEnd"/>
      <w:r w:rsidR="00476AD7">
        <w:rPr>
          <w:rFonts w:ascii="Verdana" w:hAnsi="Verdana"/>
        </w:rPr>
        <w:t xml:space="preserve"> :</w:t>
      </w:r>
      <w:proofErr w:type="gramEnd"/>
      <w:r w:rsidR="00476AD7">
        <w:rPr>
          <w:rFonts w:ascii="Verdana" w:hAnsi="Verdana"/>
        </w:rPr>
        <w:t xml:space="preserve"> posizionato intorno alle mani del pilota, presenta funzioni e geometrie analoghe all’elemento precedente.</w:t>
      </w:r>
    </w:p>
    <w:p w14:paraId="226A9001" w14:textId="77777777" w:rsidR="00476AD7" w:rsidRDefault="00476AD7" w:rsidP="00476AD7">
      <w:pPr>
        <w:pStyle w:val="Paragrafoelenco"/>
        <w:rPr>
          <w:rFonts w:ascii="Verdana" w:hAnsi="Verdana"/>
        </w:rPr>
      </w:pPr>
    </w:p>
    <w:p w14:paraId="1F60ACC2" w14:textId="4BDF632A" w:rsidR="0009702D" w:rsidRDefault="0009702D" w:rsidP="0009702D">
      <w:pPr>
        <w:pStyle w:val="Paragrafoelenco"/>
        <w:numPr>
          <w:ilvl w:val="0"/>
          <w:numId w:val="5"/>
        </w:numPr>
        <w:rPr>
          <w:rFonts w:ascii="Verdana" w:hAnsi="Verdana"/>
        </w:rPr>
      </w:pPr>
      <w:proofErr w:type="spellStart"/>
      <w:r>
        <w:rPr>
          <w:rFonts w:ascii="Verdana" w:hAnsi="Verdana"/>
        </w:rPr>
        <w:t>Roll</w:t>
      </w:r>
      <w:proofErr w:type="spellEnd"/>
      <w:r>
        <w:rPr>
          <w:rFonts w:ascii="Verdana" w:hAnsi="Verdana"/>
        </w:rPr>
        <w:t xml:space="preserve"> </w:t>
      </w:r>
      <w:proofErr w:type="spellStart"/>
      <w:r>
        <w:rPr>
          <w:rFonts w:ascii="Verdana" w:hAnsi="Verdana"/>
        </w:rPr>
        <w:t>hoop</w:t>
      </w:r>
      <w:proofErr w:type="spellEnd"/>
      <w:r>
        <w:rPr>
          <w:rFonts w:ascii="Verdana" w:hAnsi="Verdana"/>
        </w:rPr>
        <w:t xml:space="preserve"> </w:t>
      </w:r>
      <w:proofErr w:type="spellStart"/>
      <w:r>
        <w:rPr>
          <w:rFonts w:ascii="Verdana" w:hAnsi="Verdana"/>
        </w:rPr>
        <w:t>braces</w:t>
      </w:r>
      <w:proofErr w:type="spellEnd"/>
      <w:r>
        <w:rPr>
          <w:rFonts w:ascii="Verdana" w:hAnsi="Verdana"/>
        </w:rPr>
        <w:t xml:space="preserve"> and supports</w:t>
      </w:r>
      <w:r w:rsidR="00476AD7">
        <w:rPr>
          <w:rFonts w:ascii="Verdana" w:hAnsi="Verdana"/>
        </w:rPr>
        <w:t xml:space="preserve">: connettono i </w:t>
      </w:r>
      <w:proofErr w:type="spellStart"/>
      <w:r w:rsidR="00476AD7">
        <w:rPr>
          <w:rFonts w:ascii="Verdana" w:hAnsi="Verdana"/>
        </w:rPr>
        <w:t>roll</w:t>
      </w:r>
      <w:proofErr w:type="spellEnd"/>
      <w:r w:rsidR="00476AD7">
        <w:rPr>
          <w:rFonts w:ascii="Verdana" w:hAnsi="Verdana"/>
        </w:rPr>
        <w:t xml:space="preserve"> </w:t>
      </w:r>
      <w:proofErr w:type="spellStart"/>
      <w:r w:rsidR="00476AD7">
        <w:rPr>
          <w:rFonts w:ascii="Verdana" w:hAnsi="Verdana"/>
        </w:rPr>
        <w:t>hoop</w:t>
      </w:r>
      <w:proofErr w:type="spellEnd"/>
      <w:r w:rsidR="00476AD7">
        <w:rPr>
          <w:rFonts w:ascii="Verdana" w:hAnsi="Verdana"/>
        </w:rPr>
        <w:t xml:space="preserve"> e aumentano la rigidezza flessionale del sistema</w:t>
      </w:r>
    </w:p>
    <w:p w14:paraId="2B6D35AD" w14:textId="77777777" w:rsidR="00476AD7" w:rsidRDefault="00476AD7" w:rsidP="00476AD7">
      <w:pPr>
        <w:pStyle w:val="Paragrafoelenco"/>
        <w:rPr>
          <w:rFonts w:ascii="Verdana" w:hAnsi="Verdana"/>
        </w:rPr>
      </w:pPr>
    </w:p>
    <w:p w14:paraId="0D9611E8" w14:textId="05C32B9F" w:rsidR="0009702D" w:rsidRDefault="0009702D" w:rsidP="0009702D">
      <w:pPr>
        <w:pStyle w:val="Paragrafoelenco"/>
        <w:numPr>
          <w:ilvl w:val="0"/>
          <w:numId w:val="5"/>
        </w:numPr>
        <w:rPr>
          <w:rFonts w:ascii="Verdana" w:hAnsi="Verdana"/>
        </w:rPr>
      </w:pPr>
      <w:r>
        <w:rPr>
          <w:rFonts w:ascii="Verdana" w:hAnsi="Verdana"/>
        </w:rPr>
        <w:t xml:space="preserve">Side impact </w:t>
      </w:r>
      <w:proofErr w:type="spellStart"/>
      <w:r>
        <w:rPr>
          <w:rFonts w:ascii="Verdana" w:hAnsi="Verdana"/>
        </w:rPr>
        <w:t>structure</w:t>
      </w:r>
      <w:proofErr w:type="spellEnd"/>
    </w:p>
    <w:p w14:paraId="5DC30F99" w14:textId="77777777" w:rsidR="00476AD7" w:rsidRDefault="00476AD7" w:rsidP="00476AD7">
      <w:pPr>
        <w:pStyle w:val="Paragrafoelenco"/>
        <w:rPr>
          <w:rFonts w:ascii="Verdana" w:hAnsi="Verdana"/>
        </w:rPr>
      </w:pPr>
    </w:p>
    <w:p w14:paraId="7630CBF5" w14:textId="75FAFFB4" w:rsidR="0009702D" w:rsidRDefault="00476AD7" w:rsidP="1D3549E6">
      <w:pPr>
        <w:pStyle w:val="Paragrafoelenco"/>
        <w:numPr>
          <w:ilvl w:val="0"/>
          <w:numId w:val="5"/>
        </w:numPr>
        <w:rPr>
          <w:rFonts w:ascii="Verdana" w:hAnsi="Verdana"/>
        </w:rPr>
      </w:pPr>
      <w:r>
        <w:rPr>
          <w:rFonts w:ascii="Verdana" w:hAnsi="Verdana"/>
        </w:rPr>
        <w:t xml:space="preserve">Front </w:t>
      </w:r>
      <w:proofErr w:type="spellStart"/>
      <w:r>
        <w:rPr>
          <w:rFonts w:ascii="Verdana" w:hAnsi="Verdana"/>
        </w:rPr>
        <w:t>bulkhead</w:t>
      </w:r>
      <w:proofErr w:type="spellEnd"/>
      <w:r>
        <w:rPr>
          <w:rFonts w:ascii="Verdana" w:hAnsi="Verdana"/>
        </w:rPr>
        <w:t xml:space="preserve">: </w:t>
      </w:r>
      <w:r w:rsidR="1D3549E6" w:rsidRPr="1D3549E6">
        <w:rPr>
          <w:rFonts w:ascii="Verdana" w:hAnsi="Verdana"/>
        </w:rPr>
        <w:t>una struttura planare che definisce il piano frontale della struttura primaria del telaio e fornisce</w:t>
      </w:r>
      <w:r>
        <w:rPr>
          <w:rFonts w:ascii="Verdana" w:hAnsi="Verdana"/>
        </w:rPr>
        <w:t xml:space="preserve"> protezione ai piedi del pilota.</w:t>
      </w:r>
    </w:p>
    <w:p w14:paraId="2D9368B1" w14:textId="77777777" w:rsidR="00476AD7" w:rsidRDefault="00476AD7" w:rsidP="00476AD7">
      <w:pPr>
        <w:pStyle w:val="Paragrafoelenco"/>
        <w:rPr>
          <w:rFonts w:ascii="Verdana" w:hAnsi="Verdana"/>
        </w:rPr>
      </w:pPr>
    </w:p>
    <w:p w14:paraId="39E6D2BE" w14:textId="1E6F4414" w:rsidR="0009702D" w:rsidRDefault="0009702D" w:rsidP="0009702D">
      <w:pPr>
        <w:pStyle w:val="Paragrafoelenco"/>
        <w:numPr>
          <w:ilvl w:val="0"/>
          <w:numId w:val="5"/>
        </w:numPr>
        <w:rPr>
          <w:rFonts w:ascii="Verdana" w:hAnsi="Verdana"/>
        </w:rPr>
      </w:pPr>
      <w:r>
        <w:rPr>
          <w:rFonts w:ascii="Verdana" w:hAnsi="Verdana"/>
        </w:rPr>
        <w:t xml:space="preserve">Front </w:t>
      </w:r>
      <w:proofErr w:type="spellStart"/>
      <w:r>
        <w:rPr>
          <w:rFonts w:ascii="Verdana" w:hAnsi="Verdana"/>
        </w:rPr>
        <w:t>bulkhead</w:t>
      </w:r>
      <w:proofErr w:type="spellEnd"/>
      <w:r>
        <w:rPr>
          <w:rFonts w:ascii="Verdana" w:hAnsi="Verdana"/>
        </w:rPr>
        <w:t xml:space="preserve"> </w:t>
      </w:r>
      <w:proofErr w:type="spellStart"/>
      <w:r>
        <w:rPr>
          <w:rFonts w:ascii="Verdana" w:hAnsi="Verdana"/>
        </w:rPr>
        <w:t>suppost</w:t>
      </w:r>
      <w:proofErr w:type="spellEnd"/>
      <w:r>
        <w:rPr>
          <w:rFonts w:ascii="Verdana" w:hAnsi="Verdana"/>
        </w:rPr>
        <w:t xml:space="preserve"> system</w:t>
      </w:r>
    </w:p>
    <w:p w14:paraId="286F2A8B" w14:textId="77777777" w:rsidR="00476AD7" w:rsidRDefault="00476AD7" w:rsidP="00476AD7">
      <w:pPr>
        <w:pStyle w:val="Paragrafoelenco"/>
        <w:rPr>
          <w:rFonts w:ascii="Verdana" w:hAnsi="Verdana"/>
        </w:rPr>
      </w:pPr>
    </w:p>
    <w:p w14:paraId="7F47870E" w14:textId="042C0958" w:rsidR="0009702D" w:rsidRDefault="0009702D" w:rsidP="0009702D">
      <w:pPr>
        <w:pStyle w:val="Paragrafoelenco"/>
        <w:numPr>
          <w:ilvl w:val="0"/>
          <w:numId w:val="5"/>
        </w:numPr>
        <w:rPr>
          <w:rFonts w:ascii="Verdana" w:hAnsi="Verdana"/>
        </w:rPr>
      </w:pPr>
      <w:proofErr w:type="spellStart"/>
      <w:r>
        <w:rPr>
          <w:rFonts w:ascii="Verdana" w:hAnsi="Verdana"/>
        </w:rPr>
        <w:t>All</w:t>
      </w:r>
      <w:proofErr w:type="spellEnd"/>
      <w:r>
        <w:rPr>
          <w:rFonts w:ascii="Verdana" w:hAnsi="Verdana"/>
        </w:rPr>
        <w:t xml:space="preserve"> frame </w:t>
      </w:r>
      <w:proofErr w:type="spellStart"/>
      <w:r>
        <w:rPr>
          <w:rFonts w:ascii="Verdana" w:hAnsi="Verdana"/>
        </w:rPr>
        <w:t>members</w:t>
      </w:r>
      <w:proofErr w:type="spellEnd"/>
    </w:p>
    <w:p w14:paraId="497B90B9" w14:textId="21A4E568" w:rsidR="0009702D" w:rsidRDefault="1D3549E6" w:rsidP="1D3549E6">
      <w:pPr>
        <w:rPr>
          <w:rFonts w:ascii="Verdana" w:hAnsi="Verdana"/>
        </w:rPr>
      </w:pPr>
      <w:r w:rsidRPr="1D3549E6">
        <w:rPr>
          <w:rFonts w:ascii="Verdana" w:hAnsi="Verdana"/>
        </w:rPr>
        <w:t>Il regolamento formula SAE prevede l’utilizzo di un telaio in traliccio di acciaio; la struttura primaria deve essere costruita in tubi di acciaio, le cui dimensioni minime sono riportate nella seguente tabella.</w:t>
      </w:r>
    </w:p>
    <w:p w14:paraId="4E017CA7" w14:textId="77777777" w:rsidR="007F749D" w:rsidRDefault="007F749D" w:rsidP="1D3549E6">
      <w:pPr>
        <w:rPr>
          <w:rFonts w:ascii="Verdana" w:hAnsi="Verdana"/>
        </w:rPr>
      </w:pPr>
    </w:p>
    <w:p w14:paraId="543F02FC" w14:textId="77777777" w:rsidR="00434A69" w:rsidRDefault="00434A69" w:rsidP="00434A69">
      <w:pPr>
        <w:jc w:val="center"/>
        <w:rPr>
          <w:rFonts w:ascii="Verdana" w:hAnsi="Verdana"/>
        </w:rPr>
      </w:pPr>
      <w:r>
        <w:rPr>
          <w:noProof/>
          <w:lang w:eastAsia="it-IT"/>
        </w:rPr>
        <w:drawing>
          <wp:inline distT="0" distB="0" distL="0" distR="0" wp14:anchorId="5B1E556B" wp14:editId="7267CDC2">
            <wp:extent cx="5755871" cy="28003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134" t="39389" r="26433" b="21314"/>
                    <a:stretch/>
                  </pic:blipFill>
                  <pic:spPr bwMode="auto">
                    <a:xfrm>
                      <a:off x="0" y="0"/>
                      <a:ext cx="5768060" cy="2806280"/>
                    </a:xfrm>
                    <a:prstGeom prst="rect">
                      <a:avLst/>
                    </a:prstGeom>
                    <a:ln>
                      <a:noFill/>
                    </a:ln>
                    <a:extLst>
                      <a:ext uri="{53640926-AAD7-44D8-BBD7-CCE9431645EC}">
                        <a14:shadowObscured xmlns:a14="http://schemas.microsoft.com/office/drawing/2010/main"/>
                      </a:ext>
                    </a:extLst>
                  </pic:spPr>
                </pic:pic>
              </a:graphicData>
            </a:graphic>
          </wp:inline>
        </w:drawing>
      </w:r>
    </w:p>
    <w:p w14:paraId="3F0E4F91" w14:textId="77777777" w:rsidR="007F749D" w:rsidRDefault="007F749D" w:rsidP="1D3549E6">
      <w:pPr>
        <w:rPr>
          <w:rFonts w:ascii="Verdana" w:hAnsi="Verdana"/>
        </w:rPr>
      </w:pPr>
    </w:p>
    <w:p w14:paraId="31FD2278" w14:textId="77777777" w:rsidR="00ED3761" w:rsidRDefault="1D3549E6" w:rsidP="1D3549E6">
      <w:pPr>
        <w:rPr>
          <w:rFonts w:ascii="Verdana" w:hAnsi="Verdana"/>
        </w:rPr>
      </w:pPr>
      <w:r w:rsidRPr="1D3549E6">
        <w:rPr>
          <w:rFonts w:ascii="Verdana" w:hAnsi="Verdana"/>
        </w:rPr>
        <w:t>Nonostante ciò, ai vari team, si lascia libertà sull’impiego del materiale e sulla modalità costruttiva, purché venga esposta e documentata l’equivalenza s</w:t>
      </w:r>
      <w:r w:rsidR="000879BC">
        <w:rPr>
          <w:rFonts w:ascii="Verdana" w:hAnsi="Verdana"/>
        </w:rPr>
        <w:t>trutturale del sistema adottato.</w:t>
      </w:r>
    </w:p>
    <w:p w14:paraId="14F25CBF" w14:textId="00D50B3B" w:rsidR="00ED3761" w:rsidRDefault="000879BC" w:rsidP="00ED3761">
      <w:pPr>
        <w:rPr>
          <w:rFonts w:ascii="Verdana" w:hAnsi="Verdana"/>
        </w:rPr>
      </w:pPr>
      <w:r>
        <w:rPr>
          <w:rFonts w:ascii="Verdana" w:hAnsi="Verdana"/>
        </w:rPr>
        <w:lastRenderedPageBreak/>
        <w:t xml:space="preserve">Ovvero </w:t>
      </w:r>
      <w:r w:rsidR="00ED3761">
        <w:rPr>
          <w:rFonts w:ascii="Verdana" w:hAnsi="Verdana"/>
        </w:rPr>
        <w:t>i team devono costruire dei p</w:t>
      </w:r>
      <w:r w:rsidR="00B66521">
        <w:rPr>
          <w:rFonts w:ascii="Verdana" w:hAnsi="Verdana"/>
        </w:rPr>
        <w:t>annelli</w:t>
      </w:r>
      <w:r w:rsidR="00ED3761">
        <w:rPr>
          <w:rFonts w:ascii="Verdana" w:hAnsi="Verdana"/>
        </w:rPr>
        <w:t xml:space="preserve"> dello stesso materiale e metodo di fabbricazione delle varie parti della vettura (o monoscocca) r</w:t>
      </w:r>
      <w:r w:rsidR="00025E8E">
        <w:rPr>
          <w:rFonts w:ascii="Verdana" w:hAnsi="Verdana"/>
        </w:rPr>
        <w:t>ealizzate in materiale alternativo</w:t>
      </w:r>
      <w:r w:rsidR="00ED3761">
        <w:rPr>
          <w:rFonts w:ascii="Verdana" w:hAnsi="Verdana"/>
        </w:rPr>
        <w:t>, e sottoporli a varie prove di stress. I risultati vengono raccolti in un foglio di calcolo e dovranno rispettare i parametri di rigidezza e deformazione imposti dal regolamento.</w:t>
      </w:r>
    </w:p>
    <w:p w14:paraId="51915826" w14:textId="3E54C17E" w:rsidR="000879BC" w:rsidRDefault="000879BC" w:rsidP="1D3549E6">
      <w:pPr>
        <w:rPr>
          <w:rFonts w:ascii="Verdana" w:hAnsi="Verdana"/>
        </w:rPr>
      </w:pPr>
      <w:r>
        <w:rPr>
          <w:rFonts w:ascii="Verdana" w:hAnsi="Verdana"/>
        </w:rPr>
        <w:t>In particolare le tensioni di snervamento e di rottura per il provino sottoposto a flessione e la deformazione</w:t>
      </w:r>
      <w:r w:rsidR="007F749D">
        <w:rPr>
          <w:rFonts w:ascii="Verdana" w:hAnsi="Verdana"/>
        </w:rPr>
        <w:t>, quindi l’energia assorbita, dovranno essere maggiori o uguali a quelle dei tubi in acciaio riportate nel regolamento.</w:t>
      </w:r>
    </w:p>
    <w:p w14:paraId="548FDC48" w14:textId="25CE7596" w:rsidR="00AB694A" w:rsidRDefault="00AB694A" w:rsidP="1D3549E6">
      <w:pPr>
        <w:rPr>
          <w:rFonts w:ascii="Verdana" w:hAnsi="Verdana"/>
        </w:rPr>
      </w:pPr>
      <w:r>
        <w:rPr>
          <w:rFonts w:ascii="Verdana" w:hAnsi="Verdana"/>
        </w:rPr>
        <w:t>L’applicatore del carico usato nei test deve essere metallico e la base di appoggio deve essere più grande della zona di applicazione del carico, per evitare carichi di punta sul pannello (come mostrato nella figura seguente).</w:t>
      </w:r>
    </w:p>
    <w:p w14:paraId="7C81D4BA" w14:textId="33AB4C4F" w:rsidR="00AB694A" w:rsidRDefault="00AB694A" w:rsidP="1D3549E6">
      <w:pPr>
        <w:rPr>
          <w:rFonts w:ascii="Verdana" w:hAnsi="Verdana"/>
        </w:rPr>
      </w:pPr>
    </w:p>
    <w:p w14:paraId="4D9B4BB7" w14:textId="4FFF0F5F" w:rsidR="00AB694A" w:rsidRDefault="00AB694A" w:rsidP="009940BC">
      <w:pPr>
        <w:jc w:val="center"/>
        <w:rPr>
          <w:rFonts w:ascii="Verdana" w:hAnsi="Verdana"/>
        </w:rPr>
      </w:pPr>
      <w:r w:rsidRPr="00AB694A">
        <w:rPr>
          <w:rFonts w:ascii="Verdana" w:hAnsi="Verdana"/>
          <w:noProof/>
        </w:rPr>
        <w:drawing>
          <wp:inline distT="0" distB="0" distL="0" distR="0" wp14:anchorId="06FD99FD" wp14:editId="3E554CFC">
            <wp:extent cx="6477000" cy="2958911"/>
            <wp:effectExtent l="0" t="0" r="0"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2204" t="45726" r="15113" b="3261"/>
                    <a:stretch/>
                  </pic:blipFill>
                  <pic:spPr bwMode="auto">
                    <a:xfrm>
                      <a:off x="0" y="0"/>
                      <a:ext cx="6496510" cy="296782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F442B53" w14:textId="4BE86453" w:rsidR="007F749D" w:rsidRDefault="007F749D" w:rsidP="00121217">
      <w:pPr>
        <w:jc w:val="center"/>
        <w:rPr>
          <w:rFonts w:ascii="Verdana" w:hAnsi="Verdana"/>
        </w:rPr>
      </w:pPr>
    </w:p>
    <w:p w14:paraId="2873EEC8" w14:textId="41EFF6CC" w:rsidR="00F15FCC" w:rsidRDefault="00F15FCC" w:rsidP="00121217">
      <w:pPr>
        <w:rPr>
          <w:rFonts w:ascii="Verdana" w:hAnsi="Verdana"/>
        </w:rPr>
      </w:pPr>
      <w:r>
        <w:rPr>
          <w:rFonts w:ascii="Verdana" w:hAnsi="Verdana"/>
        </w:rPr>
        <w:t>In precedenza si è detto come il posto di guida debba essere adatto ad accogliere diverse tipologie di corporatura e, nell’articolo 4 del regolamento Formula SAE, troviamo la struttura del cockpit</w:t>
      </w:r>
      <w:r w:rsidR="00962098">
        <w:rPr>
          <w:rFonts w:ascii="Verdana" w:hAnsi="Verdana"/>
        </w:rPr>
        <w:t xml:space="preserve"> (abitacolo). </w:t>
      </w:r>
    </w:p>
    <w:p w14:paraId="6AB0B113" w14:textId="212BCB27" w:rsidR="000F21C3" w:rsidRDefault="000F21C3" w:rsidP="000F21C3">
      <w:pPr>
        <w:rPr>
          <w:rFonts w:ascii="Verdana" w:hAnsi="Verdana"/>
        </w:rPr>
      </w:pPr>
      <w:r>
        <w:rPr>
          <w:rFonts w:ascii="Verdana" w:hAnsi="Verdana"/>
        </w:rPr>
        <w:t xml:space="preserve">L’abitacolo, oltre a garantire una seduta consona, deve rispettare svariati parametri di sicurezza, non solo riguardanti i possibili impatti frontali e laterali, ma anche superiori: per questo motivo la parte frontale e il </w:t>
      </w:r>
      <w:proofErr w:type="spellStart"/>
      <w:r>
        <w:rPr>
          <w:rFonts w:ascii="Verdana" w:hAnsi="Verdana"/>
        </w:rPr>
        <w:t>roll</w:t>
      </w:r>
      <w:proofErr w:type="spellEnd"/>
      <w:r>
        <w:rPr>
          <w:rFonts w:ascii="Verdana" w:hAnsi="Verdana"/>
        </w:rPr>
        <w:t xml:space="preserve"> bar devono creare un angolo che permetta di ottenere uno spazio tra casco e suolo, in caso di vettura ribaltata, e per questo studio, logicamente, si adotta come riferimento il percentile massimo, ossia il 95</w:t>
      </w:r>
      <w:r>
        <w:rPr>
          <w:rFonts w:ascii="Verdana" w:hAnsi="Verdana"/>
          <w:vertAlign w:val="superscript"/>
        </w:rPr>
        <w:t>th</w:t>
      </w:r>
      <w:r>
        <w:rPr>
          <w:rFonts w:ascii="Verdana" w:hAnsi="Verdana"/>
        </w:rPr>
        <w:t>.</w:t>
      </w:r>
    </w:p>
    <w:p w14:paraId="281D6C83" w14:textId="77777777" w:rsidR="000F21C3" w:rsidRDefault="000F21C3" w:rsidP="000F21C3">
      <w:pPr>
        <w:rPr>
          <w:rFonts w:ascii="Verdana" w:hAnsi="Verdana"/>
        </w:rPr>
      </w:pPr>
    </w:p>
    <w:p w14:paraId="10968D65" w14:textId="0EBD2283" w:rsidR="000F21C3" w:rsidRDefault="000F21C3" w:rsidP="000F21C3">
      <w:pPr>
        <w:rPr>
          <w:rFonts w:ascii="Verdana" w:hAnsi="Verdana"/>
        </w:rPr>
      </w:pPr>
      <w:r>
        <w:rPr>
          <w:noProof/>
          <w:lang w:eastAsia="it-IT"/>
        </w:rPr>
        <w:lastRenderedPageBreak/>
        <w:drawing>
          <wp:inline distT="0" distB="0" distL="0" distR="0" wp14:anchorId="08E1A780" wp14:editId="53E39DE9">
            <wp:extent cx="5842000" cy="2844384"/>
            <wp:effectExtent l="0" t="0" r="635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024" t="48326" r="47459" b="17466"/>
                    <a:stretch/>
                  </pic:blipFill>
                  <pic:spPr bwMode="auto">
                    <a:xfrm>
                      <a:off x="0" y="0"/>
                      <a:ext cx="5904330" cy="2874731"/>
                    </a:xfrm>
                    <a:prstGeom prst="rect">
                      <a:avLst/>
                    </a:prstGeom>
                    <a:ln>
                      <a:noFill/>
                    </a:ln>
                    <a:extLst>
                      <a:ext uri="{53640926-AAD7-44D8-BBD7-CCE9431645EC}">
                        <a14:shadowObscured xmlns:a14="http://schemas.microsoft.com/office/drawing/2010/main"/>
                      </a:ext>
                    </a:extLst>
                  </pic:spPr>
                </pic:pic>
              </a:graphicData>
            </a:graphic>
          </wp:inline>
        </w:drawing>
      </w:r>
    </w:p>
    <w:p w14:paraId="675101AE" w14:textId="56A5240D" w:rsidR="00962098" w:rsidRDefault="000F21C3" w:rsidP="00121217">
      <w:pPr>
        <w:rPr>
          <w:rFonts w:ascii="Verdana" w:hAnsi="Verdana"/>
        </w:rPr>
      </w:pPr>
      <w:r w:rsidRPr="000B5446">
        <w:rPr>
          <w:rFonts w:ascii="Verdana" w:hAnsi="Verdana"/>
          <w:noProof/>
        </w:rPr>
        <w:drawing>
          <wp:inline distT="0" distB="0" distL="0" distR="0" wp14:anchorId="1864DE17" wp14:editId="70A8EA40">
            <wp:extent cx="4081669" cy="5274367"/>
            <wp:effectExtent l="0" t="0" r="0" b="254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3713" t="16123" r="34916" b="11775"/>
                    <a:stretch/>
                  </pic:blipFill>
                  <pic:spPr bwMode="auto">
                    <a:xfrm>
                      <a:off x="0" y="0"/>
                      <a:ext cx="4081669" cy="52743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0D5DE13" w14:textId="6FDE00EC" w:rsidR="000F21C3" w:rsidRDefault="000F21C3" w:rsidP="00121217">
      <w:pPr>
        <w:rPr>
          <w:rFonts w:ascii="Verdana" w:hAnsi="Verdana"/>
        </w:rPr>
      </w:pPr>
    </w:p>
    <w:p w14:paraId="13795652" w14:textId="77777777" w:rsidR="000F21C3" w:rsidRDefault="000F21C3" w:rsidP="000F21C3">
      <w:pPr>
        <w:rPr>
          <w:rFonts w:ascii="Verdana" w:hAnsi="Verdana"/>
        </w:rPr>
      </w:pPr>
      <w:r>
        <w:rPr>
          <w:rFonts w:ascii="Verdana" w:hAnsi="Verdana"/>
        </w:rPr>
        <w:lastRenderedPageBreak/>
        <w:t>Deve essere possibile inserire dall’alto verso il basso nell’abitacolo una sagoma, delle misure riportate in figura, tenuta in posizione orizzontale.</w:t>
      </w:r>
    </w:p>
    <w:p w14:paraId="71A90F9E" w14:textId="3A0580C7" w:rsidR="00962098" w:rsidRDefault="00962098" w:rsidP="00962098">
      <w:pPr>
        <w:jc w:val="center"/>
        <w:rPr>
          <w:rFonts w:ascii="Verdana" w:hAnsi="Verdana"/>
        </w:rPr>
      </w:pPr>
      <w:r>
        <w:rPr>
          <w:noProof/>
          <w:lang w:eastAsia="it-IT"/>
        </w:rPr>
        <w:drawing>
          <wp:inline distT="0" distB="0" distL="0" distR="0" wp14:anchorId="42AF1EC5" wp14:editId="27DEE2C5">
            <wp:extent cx="3321050" cy="2704882"/>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624" t="37823" r="33375" b="14391"/>
                    <a:stretch/>
                  </pic:blipFill>
                  <pic:spPr bwMode="auto">
                    <a:xfrm>
                      <a:off x="0" y="0"/>
                      <a:ext cx="3356566" cy="2733808"/>
                    </a:xfrm>
                    <a:prstGeom prst="rect">
                      <a:avLst/>
                    </a:prstGeom>
                    <a:ln>
                      <a:noFill/>
                    </a:ln>
                    <a:extLst>
                      <a:ext uri="{53640926-AAD7-44D8-BBD7-CCE9431645EC}">
                        <a14:shadowObscured xmlns:a14="http://schemas.microsoft.com/office/drawing/2010/main"/>
                      </a:ext>
                    </a:extLst>
                  </pic:spPr>
                </pic:pic>
              </a:graphicData>
            </a:graphic>
          </wp:inline>
        </w:drawing>
      </w:r>
    </w:p>
    <w:p w14:paraId="373C77D9" w14:textId="77777777" w:rsidR="000F21C3" w:rsidRDefault="000F21C3" w:rsidP="00962098">
      <w:pPr>
        <w:rPr>
          <w:rFonts w:ascii="Verdana" w:hAnsi="Verdana"/>
        </w:rPr>
      </w:pPr>
    </w:p>
    <w:p w14:paraId="35DE7FDC" w14:textId="7D96FAE6" w:rsidR="00962098" w:rsidRDefault="00962098" w:rsidP="00962098">
      <w:pPr>
        <w:rPr>
          <w:rFonts w:ascii="Verdana" w:hAnsi="Verdana"/>
        </w:rPr>
      </w:pPr>
      <w:r>
        <w:rPr>
          <w:rFonts w:ascii="Verdana" w:hAnsi="Verdana"/>
        </w:rPr>
        <w:t>Un’altra sagoma verticale deve invece poter essere inserita attraverso l’abitacolo nello spazio dedicato alle gambe del pilota, fino ad una distanza di 100mm dai pedali</w:t>
      </w:r>
      <w:r w:rsidR="00B52485">
        <w:rPr>
          <w:rFonts w:ascii="Verdana" w:hAnsi="Verdana"/>
        </w:rPr>
        <w:t xml:space="preserve"> nella posizione più </w:t>
      </w:r>
      <w:proofErr w:type="spellStart"/>
      <w:r w:rsidR="00B52485">
        <w:rPr>
          <w:rFonts w:ascii="Verdana" w:hAnsi="Verdana"/>
        </w:rPr>
        <w:t>avazata</w:t>
      </w:r>
      <w:proofErr w:type="spellEnd"/>
      <w:r w:rsidR="00B52485">
        <w:rPr>
          <w:rFonts w:ascii="Verdana" w:hAnsi="Verdana"/>
        </w:rPr>
        <w:t>.</w:t>
      </w:r>
    </w:p>
    <w:p w14:paraId="25EB637A" w14:textId="77777777" w:rsidR="00962098" w:rsidRDefault="00962098" w:rsidP="00121217">
      <w:pPr>
        <w:rPr>
          <w:rFonts w:ascii="Verdana" w:hAnsi="Verdana"/>
        </w:rPr>
      </w:pPr>
    </w:p>
    <w:p w14:paraId="1633C69E" w14:textId="493D5152" w:rsidR="00F15FCC" w:rsidRDefault="00F15FCC" w:rsidP="000F21C3">
      <w:pPr>
        <w:jc w:val="center"/>
        <w:rPr>
          <w:rFonts w:ascii="Verdana" w:hAnsi="Verdana"/>
        </w:rPr>
      </w:pPr>
      <w:r>
        <w:rPr>
          <w:noProof/>
          <w:lang w:eastAsia="it-IT"/>
        </w:rPr>
        <w:drawing>
          <wp:inline distT="0" distB="0" distL="0" distR="0" wp14:anchorId="2E109975" wp14:editId="58E047FF">
            <wp:extent cx="3427934" cy="3441700"/>
            <wp:effectExtent l="0" t="0" r="127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048" t="34871" r="37111" b="19003"/>
                    <a:stretch/>
                  </pic:blipFill>
                  <pic:spPr bwMode="auto">
                    <a:xfrm>
                      <a:off x="0" y="0"/>
                      <a:ext cx="3449555" cy="3463408"/>
                    </a:xfrm>
                    <a:prstGeom prst="rect">
                      <a:avLst/>
                    </a:prstGeom>
                    <a:ln>
                      <a:noFill/>
                    </a:ln>
                    <a:extLst>
                      <a:ext uri="{53640926-AAD7-44D8-BBD7-CCE9431645EC}">
                        <a14:shadowObscured xmlns:a14="http://schemas.microsoft.com/office/drawing/2010/main"/>
                      </a:ext>
                    </a:extLst>
                  </pic:spPr>
                </pic:pic>
              </a:graphicData>
            </a:graphic>
          </wp:inline>
        </w:drawing>
      </w:r>
    </w:p>
    <w:p w14:paraId="5065A3A9" w14:textId="39E5EE31" w:rsidR="00742286" w:rsidRDefault="00742286" w:rsidP="000F21C3">
      <w:pPr>
        <w:jc w:val="center"/>
        <w:rPr>
          <w:rFonts w:ascii="Verdana" w:hAnsi="Verdana"/>
        </w:rPr>
      </w:pPr>
    </w:p>
    <w:p w14:paraId="44EFB068" w14:textId="4697DF2E" w:rsidR="00742286" w:rsidRDefault="00742286" w:rsidP="000F21C3">
      <w:pPr>
        <w:jc w:val="center"/>
        <w:rPr>
          <w:rFonts w:ascii="Verdana" w:hAnsi="Verdana"/>
        </w:rPr>
      </w:pPr>
    </w:p>
    <w:p w14:paraId="4B59CFDC" w14:textId="0CD3BE00" w:rsidR="00742286" w:rsidRDefault="00742286" w:rsidP="000F21C3">
      <w:pPr>
        <w:jc w:val="center"/>
        <w:rPr>
          <w:rFonts w:ascii="Verdana" w:hAnsi="Verdana"/>
        </w:rPr>
      </w:pPr>
    </w:p>
    <w:tbl>
      <w:tblPr>
        <w:tblpPr w:leftFromText="141" w:rightFromText="141" w:vertAnchor="text" w:horzAnchor="margin" w:tblpY="72"/>
        <w:tblW w:w="0" w:type="auto"/>
        <w:tblLayout w:type="fixed"/>
        <w:tblCellMar>
          <w:top w:w="55" w:type="dxa"/>
          <w:left w:w="55" w:type="dxa"/>
          <w:bottom w:w="55" w:type="dxa"/>
          <w:right w:w="55" w:type="dxa"/>
        </w:tblCellMar>
        <w:tblLook w:val="04A0" w:firstRow="1" w:lastRow="0" w:firstColumn="1" w:lastColumn="0" w:noHBand="0" w:noVBand="1"/>
      </w:tblPr>
      <w:tblGrid>
        <w:gridCol w:w="2796"/>
        <w:gridCol w:w="1297"/>
        <w:gridCol w:w="1543"/>
        <w:gridCol w:w="1607"/>
        <w:gridCol w:w="1264"/>
      </w:tblGrid>
      <w:tr w:rsidR="00742286" w14:paraId="7395AAC9" w14:textId="77777777" w:rsidTr="00742286">
        <w:tc>
          <w:tcPr>
            <w:tcW w:w="2796" w:type="dxa"/>
            <w:tcBorders>
              <w:top w:val="single" w:sz="2" w:space="0" w:color="000000"/>
              <w:left w:val="single" w:sz="2" w:space="0" w:color="000000"/>
              <w:bottom w:val="single" w:sz="2" w:space="0" w:color="000000"/>
              <w:right w:val="nil"/>
            </w:tcBorders>
            <w:hideMark/>
          </w:tcPr>
          <w:p w14:paraId="4B4A0905" w14:textId="77777777" w:rsidR="00742286" w:rsidRDefault="00742286" w:rsidP="00742286">
            <w:pPr>
              <w:pStyle w:val="TableContents"/>
              <w:jc w:val="center"/>
              <w:rPr>
                <w:b/>
                <w:bCs/>
              </w:rPr>
            </w:pPr>
            <w:proofErr w:type="spellStart"/>
            <w:r>
              <w:rPr>
                <w:b/>
                <w:bCs/>
              </w:rPr>
              <w:t>Autore</w:t>
            </w:r>
            <w:proofErr w:type="spellEnd"/>
            <w:r>
              <w:rPr>
                <w:b/>
                <w:bCs/>
              </w:rPr>
              <w:t>/</w:t>
            </w:r>
            <w:proofErr w:type="spellStart"/>
            <w:r>
              <w:rPr>
                <w:b/>
                <w:bCs/>
              </w:rPr>
              <w:t>Revisore</w:t>
            </w:r>
            <w:proofErr w:type="spellEnd"/>
          </w:p>
        </w:tc>
        <w:tc>
          <w:tcPr>
            <w:tcW w:w="1297" w:type="dxa"/>
            <w:tcBorders>
              <w:top w:val="single" w:sz="2" w:space="0" w:color="000000"/>
              <w:left w:val="single" w:sz="2" w:space="0" w:color="000000"/>
              <w:bottom w:val="single" w:sz="2" w:space="0" w:color="000000"/>
              <w:right w:val="nil"/>
            </w:tcBorders>
            <w:hideMark/>
          </w:tcPr>
          <w:p w14:paraId="7248E15A" w14:textId="77777777" w:rsidR="00742286" w:rsidRDefault="00742286" w:rsidP="00742286">
            <w:pPr>
              <w:pStyle w:val="TableContents"/>
              <w:jc w:val="center"/>
              <w:rPr>
                <w:b/>
                <w:bCs/>
              </w:rPr>
            </w:pPr>
            <w:r>
              <w:rPr>
                <w:b/>
                <w:bCs/>
              </w:rPr>
              <w:t xml:space="preserve">Prima </w:t>
            </w:r>
            <w:proofErr w:type="spellStart"/>
            <w:r>
              <w:rPr>
                <w:b/>
                <w:bCs/>
              </w:rPr>
              <w:t>stesura</w:t>
            </w:r>
            <w:proofErr w:type="spellEnd"/>
          </w:p>
        </w:tc>
        <w:tc>
          <w:tcPr>
            <w:tcW w:w="1543" w:type="dxa"/>
            <w:tcBorders>
              <w:top w:val="single" w:sz="2" w:space="0" w:color="000000"/>
              <w:left w:val="single" w:sz="2" w:space="0" w:color="000000"/>
              <w:bottom w:val="single" w:sz="2" w:space="0" w:color="000000"/>
              <w:right w:val="nil"/>
            </w:tcBorders>
            <w:hideMark/>
          </w:tcPr>
          <w:p w14:paraId="70FA200B" w14:textId="77777777" w:rsidR="00742286" w:rsidRDefault="00742286" w:rsidP="00742286">
            <w:pPr>
              <w:pStyle w:val="TableContents"/>
              <w:jc w:val="center"/>
              <w:rPr>
                <w:b/>
                <w:bCs/>
              </w:rPr>
            </w:pPr>
            <w:proofErr w:type="spellStart"/>
            <w:r>
              <w:rPr>
                <w:b/>
                <w:bCs/>
              </w:rPr>
              <w:t>Revisione</w:t>
            </w:r>
            <w:proofErr w:type="spellEnd"/>
          </w:p>
        </w:tc>
        <w:tc>
          <w:tcPr>
            <w:tcW w:w="1607" w:type="dxa"/>
            <w:tcBorders>
              <w:top w:val="single" w:sz="2" w:space="0" w:color="000000"/>
              <w:left w:val="single" w:sz="2" w:space="0" w:color="000000"/>
              <w:bottom w:val="single" w:sz="2" w:space="0" w:color="000000"/>
              <w:right w:val="nil"/>
            </w:tcBorders>
            <w:hideMark/>
          </w:tcPr>
          <w:p w14:paraId="46AC4AFE" w14:textId="77777777" w:rsidR="00742286" w:rsidRDefault="00742286" w:rsidP="00742286">
            <w:pPr>
              <w:pStyle w:val="TableContents"/>
              <w:jc w:val="center"/>
              <w:rPr>
                <w:b/>
                <w:bCs/>
              </w:rPr>
            </w:pPr>
            <w:proofErr w:type="spellStart"/>
            <w:r>
              <w:rPr>
                <w:b/>
                <w:bCs/>
              </w:rPr>
              <w:t>Seconda</w:t>
            </w:r>
            <w:proofErr w:type="spellEnd"/>
            <w:r>
              <w:rPr>
                <w:b/>
                <w:bCs/>
              </w:rPr>
              <w:t xml:space="preserve"> </w:t>
            </w:r>
            <w:proofErr w:type="spellStart"/>
            <w:r>
              <w:rPr>
                <w:b/>
                <w:bCs/>
              </w:rPr>
              <w:t>stesura</w:t>
            </w:r>
            <w:proofErr w:type="spellEnd"/>
          </w:p>
        </w:tc>
        <w:tc>
          <w:tcPr>
            <w:tcW w:w="1264" w:type="dxa"/>
            <w:tcBorders>
              <w:top w:val="single" w:sz="2" w:space="0" w:color="000000"/>
              <w:left w:val="single" w:sz="2" w:space="0" w:color="000000"/>
              <w:bottom w:val="single" w:sz="2" w:space="0" w:color="000000"/>
              <w:right w:val="single" w:sz="2" w:space="0" w:color="000000"/>
            </w:tcBorders>
            <w:hideMark/>
          </w:tcPr>
          <w:p w14:paraId="5AC5DBFF" w14:textId="77777777" w:rsidR="00742286" w:rsidRDefault="00742286" w:rsidP="00742286">
            <w:pPr>
              <w:pStyle w:val="TableContents"/>
              <w:jc w:val="center"/>
            </w:pPr>
            <w:proofErr w:type="spellStart"/>
            <w:r>
              <w:rPr>
                <w:b/>
                <w:bCs/>
              </w:rPr>
              <w:t>Totale</w:t>
            </w:r>
            <w:proofErr w:type="spellEnd"/>
          </w:p>
        </w:tc>
      </w:tr>
      <w:tr w:rsidR="00742286" w14:paraId="3942E9DA" w14:textId="77777777" w:rsidTr="00742286">
        <w:tc>
          <w:tcPr>
            <w:tcW w:w="2796" w:type="dxa"/>
            <w:tcBorders>
              <w:top w:val="nil"/>
              <w:left w:val="single" w:sz="2" w:space="0" w:color="000000"/>
              <w:bottom w:val="single" w:sz="2" w:space="0" w:color="000000"/>
              <w:right w:val="nil"/>
            </w:tcBorders>
            <w:hideMark/>
          </w:tcPr>
          <w:p w14:paraId="4FC5E977" w14:textId="7E588ECC" w:rsidR="00742286" w:rsidRDefault="00742286" w:rsidP="00742286">
            <w:pPr>
              <w:pStyle w:val="TableContents"/>
              <w:jc w:val="both"/>
            </w:pPr>
            <w:r>
              <w:t xml:space="preserve">Andrea </w:t>
            </w:r>
            <w:r w:rsidR="009B7DCA">
              <w:t>Ranzini</w:t>
            </w:r>
            <w:bookmarkStart w:id="0" w:name="_GoBack"/>
            <w:bookmarkEnd w:id="0"/>
          </w:p>
        </w:tc>
        <w:tc>
          <w:tcPr>
            <w:tcW w:w="1297" w:type="dxa"/>
            <w:tcBorders>
              <w:top w:val="nil"/>
              <w:left w:val="single" w:sz="2" w:space="0" w:color="000000"/>
              <w:bottom w:val="single" w:sz="2" w:space="0" w:color="000000"/>
              <w:right w:val="nil"/>
            </w:tcBorders>
          </w:tcPr>
          <w:p w14:paraId="769A4B3A" w14:textId="6BAC8DD3" w:rsidR="00742286" w:rsidRDefault="00742286" w:rsidP="00742286">
            <w:pPr>
              <w:pStyle w:val="TableContents"/>
              <w:jc w:val="both"/>
            </w:pPr>
            <w:r>
              <w:t>5h</w:t>
            </w:r>
          </w:p>
        </w:tc>
        <w:tc>
          <w:tcPr>
            <w:tcW w:w="1543" w:type="dxa"/>
            <w:tcBorders>
              <w:top w:val="nil"/>
              <w:left w:val="single" w:sz="2" w:space="0" w:color="000000"/>
              <w:bottom w:val="single" w:sz="2" w:space="0" w:color="000000"/>
              <w:right w:val="nil"/>
            </w:tcBorders>
          </w:tcPr>
          <w:p w14:paraId="1844D779" w14:textId="77777777" w:rsidR="00742286" w:rsidRDefault="00742286" w:rsidP="00742286">
            <w:pPr>
              <w:pStyle w:val="TableContents"/>
              <w:jc w:val="both"/>
            </w:pPr>
          </w:p>
        </w:tc>
        <w:tc>
          <w:tcPr>
            <w:tcW w:w="1607" w:type="dxa"/>
            <w:tcBorders>
              <w:top w:val="nil"/>
              <w:left w:val="single" w:sz="2" w:space="0" w:color="000000"/>
              <w:bottom w:val="single" w:sz="2" w:space="0" w:color="000000"/>
              <w:right w:val="nil"/>
            </w:tcBorders>
          </w:tcPr>
          <w:p w14:paraId="240B09E9" w14:textId="77777777" w:rsidR="00742286" w:rsidRDefault="00742286" w:rsidP="00742286">
            <w:pPr>
              <w:pStyle w:val="TableContents"/>
              <w:jc w:val="both"/>
            </w:pPr>
          </w:p>
        </w:tc>
        <w:tc>
          <w:tcPr>
            <w:tcW w:w="1264" w:type="dxa"/>
            <w:tcBorders>
              <w:top w:val="nil"/>
              <w:left w:val="single" w:sz="2" w:space="0" w:color="000000"/>
              <w:bottom w:val="single" w:sz="2" w:space="0" w:color="000000"/>
              <w:right w:val="single" w:sz="2" w:space="0" w:color="000000"/>
            </w:tcBorders>
          </w:tcPr>
          <w:p w14:paraId="5687F806" w14:textId="77777777" w:rsidR="00742286" w:rsidRDefault="00742286" w:rsidP="00742286">
            <w:pPr>
              <w:pStyle w:val="TableContents"/>
              <w:jc w:val="both"/>
            </w:pPr>
          </w:p>
        </w:tc>
      </w:tr>
      <w:tr w:rsidR="00742286" w14:paraId="134EA947" w14:textId="77777777" w:rsidTr="00742286">
        <w:tc>
          <w:tcPr>
            <w:tcW w:w="2796" w:type="dxa"/>
            <w:tcBorders>
              <w:top w:val="nil"/>
              <w:left w:val="single" w:sz="2" w:space="0" w:color="000000"/>
              <w:bottom w:val="single" w:sz="2" w:space="0" w:color="000000"/>
              <w:right w:val="nil"/>
            </w:tcBorders>
            <w:hideMark/>
          </w:tcPr>
          <w:p w14:paraId="57122AB5" w14:textId="7388A177" w:rsidR="00742286" w:rsidRDefault="00742286" w:rsidP="00742286">
            <w:pPr>
              <w:pStyle w:val="TableContents"/>
              <w:jc w:val="both"/>
            </w:pPr>
            <w:proofErr w:type="spellStart"/>
            <w:r>
              <w:t>Lucrezia</w:t>
            </w:r>
            <w:proofErr w:type="spellEnd"/>
            <w:r>
              <w:t xml:space="preserve"> </w:t>
            </w:r>
            <w:proofErr w:type="spellStart"/>
            <w:r>
              <w:t>Antonucci</w:t>
            </w:r>
            <w:proofErr w:type="spellEnd"/>
          </w:p>
        </w:tc>
        <w:tc>
          <w:tcPr>
            <w:tcW w:w="1297" w:type="dxa"/>
            <w:tcBorders>
              <w:top w:val="nil"/>
              <w:left w:val="single" w:sz="2" w:space="0" w:color="000000"/>
              <w:bottom w:val="single" w:sz="2" w:space="0" w:color="000000"/>
              <w:right w:val="nil"/>
            </w:tcBorders>
          </w:tcPr>
          <w:p w14:paraId="6EFD4BC6" w14:textId="50A3490F" w:rsidR="00742286" w:rsidRDefault="00742286" w:rsidP="00742286">
            <w:pPr>
              <w:pStyle w:val="TableContents"/>
              <w:jc w:val="both"/>
            </w:pPr>
            <w:r>
              <w:t>5h</w:t>
            </w:r>
          </w:p>
        </w:tc>
        <w:tc>
          <w:tcPr>
            <w:tcW w:w="1543" w:type="dxa"/>
            <w:tcBorders>
              <w:top w:val="nil"/>
              <w:left w:val="single" w:sz="2" w:space="0" w:color="000000"/>
              <w:bottom w:val="single" w:sz="2" w:space="0" w:color="000000"/>
              <w:right w:val="nil"/>
            </w:tcBorders>
          </w:tcPr>
          <w:p w14:paraId="0650EBF6" w14:textId="2D112699" w:rsidR="00742286" w:rsidRDefault="00742286" w:rsidP="00742286">
            <w:pPr>
              <w:pStyle w:val="TableContents"/>
              <w:jc w:val="both"/>
            </w:pPr>
          </w:p>
        </w:tc>
        <w:tc>
          <w:tcPr>
            <w:tcW w:w="1607" w:type="dxa"/>
            <w:tcBorders>
              <w:top w:val="nil"/>
              <w:left w:val="single" w:sz="2" w:space="0" w:color="000000"/>
              <w:bottom w:val="single" w:sz="2" w:space="0" w:color="000000"/>
              <w:right w:val="nil"/>
            </w:tcBorders>
          </w:tcPr>
          <w:p w14:paraId="6978E7C0" w14:textId="59460D32" w:rsidR="00742286" w:rsidRDefault="00742286" w:rsidP="00742286">
            <w:pPr>
              <w:pStyle w:val="TableContents"/>
              <w:jc w:val="both"/>
            </w:pPr>
          </w:p>
        </w:tc>
        <w:tc>
          <w:tcPr>
            <w:tcW w:w="1264" w:type="dxa"/>
            <w:tcBorders>
              <w:top w:val="nil"/>
              <w:left w:val="single" w:sz="2" w:space="0" w:color="000000"/>
              <w:bottom w:val="single" w:sz="2" w:space="0" w:color="000000"/>
              <w:right w:val="single" w:sz="2" w:space="0" w:color="000000"/>
            </w:tcBorders>
          </w:tcPr>
          <w:p w14:paraId="5E5F911B" w14:textId="01D671EB" w:rsidR="00742286" w:rsidRDefault="00742286" w:rsidP="00742286">
            <w:pPr>
              <w:pStyle w:val="TableContents"/>
              <w:jc w:val="both"/>
            </w:pPr>
          </w:p>
        </w:tc>
      </w:tr>
      <w:tr w:rsidR="00742286" w14:paraId="105EE91B" w14:textId="77777777" w:rsidTr="00742286">
        <w:tc>
          <w:tcPr>
            <w:tcW w:w="2796" w:type="dxa"/>
            <w:tcBorders>
              <w:top w:val="nil"/>
              <w:left w:val="single" w:sz="2" w:space="0" w:color="000000"/>
              <w:bottom w:val="single" w:sz="2" w:space="0" w:color="000000"/>
              <w:right w:val="nil"/>
            </w:tcBorders>
            <w:hideMark/>
          </w:tcPr>
          <w:p w14:paraId="4BC0D4EB" w14:textId="3849AA96" w:rsidR="00742286" w:rsidRDefault="00742286" w:rsidP="00742286">
            <w:pPr>
              <w:pStyle w:val="TableContents"/>
              <w:jc w:val="both"/>
            </w:pPr>
            <w:r>
              <w:t>Carlo Alberto Perugini</w:t>
            </w:r>
          </w:p>
        </w:tc>
        <w:tc>
          <w:tcPr>
            <w:tcW w:w="1297" w:type="dxa"/>
            <w:tcBorders>
              <w:top w:val="nil"/>
              <w:left w:val="single" w:sz="2" w:space="0" w:color="000000"/>
              <w:bottom w:val="single" w:sz="2" w:space="0" w:color="000000"/>
              <w:right w:val="nil"/>
            </w:tcBorders>
          </w:tcPr>
          <w:p w14:paraId="3FB52A31" w14:textId="014E85FB" w:rsidR="00742286" w:rsidRDefault="00742286" w:rsidP="00742286">
            <w:pPr>
              <w:pStyle w:val="TableContents"/>
              <w:jc w:val="both"/>
            </w:pPr>
            <w:r>
              <w:t>5h</w:t>
            </w:r>
          </w:p>
        </w:tc>
        <w:tc>
          <w:tcPr>
            <w:tcW w:w="1543" w:type="dxa"/>
            <w:tcBorders>
              <w:top w:val="nil"/>
              <w:left w:val="single" w:sz="2" w:space="0" w:color="000000"/>
              <w:bottom w:val="single" w:sz="2" w:space="0" w:color="000000"/>
              <w:right w:val="nil"/>
            </w:tcBorders>
          </w:tcPr>
          <w:p w14:paraId="24206614" w14:textId="77777777" w:rsidR="00742286" w:rsidRDefault="00742286" w:rsidP="00742286">
            <w:pPr>
              <w:pStyle w:val="TableContents"/>
              <w:jc w:val="both"/>
            </w:pPr>
          </w:p>
        </w:tc>
        <w:tc>
          <w:tcPr>
            <w:tcW w:w="1607" w:type="dxa"/>
            <w:tcBorders>
              <w:top w:val="nil"/>
              <w:left w:val="single" w:sz="2" w:space="0" w:color="000000"/>
              <w:bottom w:val="single" w:sz="2" w:space="0" w:color="000000"/>
              <w:right w:val="nil"/>
            </w:tcBorders>
          </w:tcPr>
          <w:p w14:paraId="09F8E3A9" w14:textId="77777777" w:rsidR="00742286" w:rsidRDefault="00742286" w:rsidP="00742286">
            <w:pPr>
              <w:pStyle w:val="TableContents"/>
              <w:jc w:val="both"/>
            </w:pPr>
          </w:p>
        </w:tc>
        <w:tc>
          <w:tcPr>
            <w:tcW w:w="1264" w:type="dxa"/>
            <w:tcBorders>
              <w:top w:val="nil"/>
              <w:left w:val="single" w:sz="2" w:space="0" w:color="000000"/>
              <w:bottom w:val="single" w:sz="2" w:space="0" w:color="000000"/>
              <w:right w:val="single" w:sz="2" w:space="0" w:color="000000"/>
            </w:tcBorders>
          </w:tcPr>
          <w:p w14:paraId="2C428E6E" w14:textId="3AD5B570" w:rsidR="00742286" w:rsidRDefault="00742286" w:rsidP="00742286">
            <w:pPr>
              <w:pStyle w:val="TableContents"/>
              <w:jc w:val="both"/>
            </w:pPr>
          </w:p>
        </w:tc>
      </w:tr>
    </w:tbl>
    <w:p w14:paraId="322CC949" w14:textId="52450871" w:rsidR="00742286" w:rsidRDefault="00742286" w:rsidP="000F21C3">
      <w:pPr>
        <w:jc w:val="center"/>
        <w:rPr>
          <w:rFonts w:ascii="Verdana" w:hAnsi="Verdana"/>
        </w:rPr>
      </w:pPr>
    </w:p>
    <w:p w14:paraId="3D61B3D0" w14:textId="77777777" w:rsidR="00742286" w:rsidRDefault="00742286" w:rsidP="000F21C3">
      <w:pPr>
        <w:jc w:val="center"/>
        <w:rPr>
          <w:rFonts w:ascii="Verdana" w:hAnsi="Verdana"/>
        </w:rPr>
      </w:pPr>
    </w:p>
    <w:p w14:paraId="2CF3653E" w14:textId="18C4DE59" w:rsidR="007061EC" w:rsidRPr="007F159E" w:rsidRDefault="007061EC" w:rsidP="007061EC">
      <w:pPr>
        <w:rPr>
          <w:rFonts w:ascii="Verdana" w:hAnsi="Verdana"/>
        </w:rPr>
      </w:pPr>
    </w:p>
    <w:sectPr w:rsidR="007061EC" w:rsidRPr="007F159E">
      <w:headerReference w:type="default" r:id="rId14"/>
      <w:foot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1E0E8" w14:textId="77777777" w:rsidR="002312F3" w:rsidRDefault="002312F3" w:rsidP="00ED774F">
      <w:pPr>
        <w:spacing w:after="0" w:line="240" w:lineRule="auto"/>
      </w:pPr>
      <w:r>
        <w:separator/>
      </w:r>
    </w:p>
  </w:endnote>
  <w:endnote w:type="continuationSeparator" w:id="0">
    <w:p w14:paraId="25CC110A" w14:textId="77777777" w:rsidR="002312F3" w:rsidRDefault="002312F3" w:rsidP="00ED7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charset w:val="01"/>
    <w:family w:val="auto"/>
    <w:pitch w:val="variable"/>
  </w:font>
  <w:font w:name="FreeSans">
    <w:altName w:val="Times New Roman"/>
    <w:charset w:val="01"/>
    <w:family w:val="auto"/>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122795"/>
      <w:docPartObj>
        <w:docPartGallery w:val="Page Numbers (Bottom of Page)"/>
        <w:docPartUnique/>
      </w:docPartObj>
    </w:sdtPr>
    <w:sdtContent>
      <w:p w14:paraId="56DA92BC" w14:textId="5A343710" w:rsidR="00742286" w:rsidRDefault="00742286">
        <w:pPr>
          <w:pStyle w:val="Pidipagina"/>
          <w:jc w:val="right"/>
        </w:pPr>
        <w:r>
          <w:fldChar w:fldCharType="begin"/>
        </w:r>
        <w:r>
          <w:instrText>PAGE   \* MERGEFORMAT</w:instrText>
        </w:r>
        <w:r>
          <w:fldChar w:fldCharType="separate"/>
        </w:r>
        <w:r w:rsidR="009B7DCA">
          <w:rPr>
            <w:noProof/>
          </w:rPr>
          <w:t>6</w:t>
        </w:r>
        <w:r>
          <w:fldChar w:fldCharType="end"/>
        </w:r>
      </w:p>
    </w:sdtContent>
  </w:sdt>
  <w:p w14:paraId="7E96F994" w14:textId="77777777" w:rsidR="00742286" w:rsidRDefault="0074228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4A7E6" w14:textId="77777777" w:rsidR="002312F3" w:rsidRDefault="002312F3" w:rsidP="00ED774F">
      <w:pPr>
        <w:spacing w:after="0" w:line="240" w:lineRule="auto"/>
      </w:pPr>
      <w:r>
        <w:separator/>
      </w:r>
    </w:p>
  </w:footnote>
  <w:footnote w:type="continuationSeparator" w:id="0">
    <w:p w14:paraId="42829F67" w14:textId="77777777" w:rsidR="002312F3" w:rsidRDefault="002312F3" w:rsidP="00ED7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A08C4" w14:textId="77777777" w:rsidR="00742286" w:rsidRPr="00ED774F" w:rsidRDefault="00742286">
    <w:pPr>
      <w:pStyle w:val="Intestazione"/>
      <w:rPr>
        <w:rFonts w:ascii="Verdana" w:hAnsi="Verdana"/>
        <w:sz w:val="20"/>
        <w:szCs w:val="20"/>
      </w:rPr>
    </w:pPr>
    <w:r w:rsidRPr="00ED774F">
      <w:rPr>
        <w:rFonts w:ascii="Verdana" w:hAnsi="Verdana"/>
        <w:sz w:val="20"/>
        <w:szCs w:val="20"/>
      </w:rPr>
      <w:t>Ver. 1</w:t>
    </w:r>
    <w:r w:rsidRPr="00ED774F">
      <w:rPr>
        <w:rFonts w:ascii="Verdana" w:hAnsi="Verdana"/>
        <w:sz w:val="20"/>
        <w:szCs w:val="20"/>
      </w:rPr>
      <w:ptab w:relativeTo="margin" w:alignment="center" w:leader="none"/>
    </w:r>
    <w:r w:rsidRPr="00ED774F">
      <w:rPr>
        <w:rFonts w:ascii="Verdana" w:hAnsi="Verdana"/>
        <w:sz w:val="20"/>
        <w:szCs w:val="20"/>
      </w:rPr>
      <w:t>Progettazione del Telaio, A.A. 2016-2017</w:t>
    </w:r>
    <w:r w:rsidRPr="00ED774F">
      <w:rPr>
        <w:rFonts w:ascii="Verdana" w:hAnsi="Verdana"/>
        <w:sz w:val="20"/>
        <w:szCs w:val="20"/>
      </w:rPr>
      <w:ptab w:relativeTo="margin" w:alignment="right" w:leader="none"/>
    </w:r>
    <w:proofErr w:type="spellStart"/>
    <w:r w:rsidRPr="00ED774F">
      <w:rPr>
        <w:rFonts w:ascii="Verdana" w:hAnsi="Verdana"/>
        <w:sz w:val="20"/>
        <w:szCs w:val="20"/>
      </w:rPr>
      <w:t>lez</w:t>
    </w:r>
    <w:proofErr w:type="spellEnd"/>
    <w:r w:rsidRPr="00ED774F">
      <w:rPr>
        <w:rFonts w:ascii="Verdana" w:hAnsi="Verdana"/>
        <w:sz w:val="20"/>
        <w:szCs w:val="20"/>
      </w:rPr>
      <w:t>. 17 (27/03/2017)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3996"/>
    <w:multiLevelType w:val="hybridMultilevel"/>
    <w:tmpl w:val="DA740F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B369A6"/>
    <w:multiLevelType w:val="hybridMultilevel"/>
    <w:tmpl w:val="9ED865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AE4368D"/>
    <w:multiLevelType w:val="multilevel"/>
    <w:tmpl w:val="FEA45CB4"/>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2CD1779E"/>
    <w:multiLevelType w:val="hybridMultilevel"/>
    <w:tmpl w:val="80EAFDC4"/>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F592EC8"/>
    <w:multiLevelType w:val="hybridMultilevel"/>
    <w:tmpl w:val="51F6C2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56B4A78"/>
    <w:multiLevelType w:val="hybridMultilevel"/>
    <w:tmpl w:val="1F521836"/>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FB047DE"/>
    <w:multiLevelType w:val="hybridMultilevel"/>
    <w:tmpl w:val="A7528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74F"/>
    <w:rsid w:val="00014842"/>
    <w:rsid w:val="00025E8E"/>
    <w:rsid w:val="00070993"/>
    <w:rsid w:val="000879BC"/>
    <w:rsid w:val="0009702D"/>
    <w:rsid w:val="0009769E"/>
    <w:rsid w:val="000B5446"/>
    <w:rsid w:val="000F21C3"/>
    <w:rsid w:val="00121217"/>
    <w:rsid w:val="00164C47"/>
    <w:rsid w:val="001F4943"/>
    <w:rsid w:val="00222CE7"/>
    <w:rsid w:val="002312F3"/>
    <w:rsid w:val="00277A25"/>
    <w:rsid w:val="002C2E7B"/>
    <w:rsid w:val="003E15FA"/>
    <w:rsid w:val="00434A69"/>
    <w:rsid w:val="00444CDF"/>
    <w:rsid w:val="00446374"/>
    <w:rsid w:val="00476AD7"/>
    <w:rsid w:val="004F26D0"/>
    <w:rsid w:val="005372F7"/>
    <w:rsid w:val="0054188C"/>
    <w:rsid w:val="005E3981"/>
    <w:rsid w:val="006F4F5B"/>
    <w:rsid w:val="007061EC"/>
    <w:rsid w:val="00742286"/>
    <w:rsid w:val="0075036C"/>
    <w:rsid w:val="007954AA"/>
    <w:rsid w:val="007C5C11"/>
    <w:rsid w:val="007F159E"/>
    <w:rsid w:val="007F749D"/>
    <w:rsid w:val="00865C54"/>
    <w:rsid w:val="009025DF"/>
    <w:rsid w:val="00907FE9"/>
    <w:rsid w:val="00962098"/>
    <w:rsid w:val="009940BC"/>
    <w:rsid w:val="009B7DCA"/>
    <w:rsid w:val="009C0442"/>
    <w:rsid w:val="00AB694A"/>
    <w:rsid w:val="00B52485"/>
    <w:rsid w:val="00B66521"/>
    <w:rsid w:val="00B92101"/>
    <w:rsid w:val="00BE2C2C"/>
    <w:rsid w:val="00C45B4E"/>
    <w:rsid w:val="00C713FE"/>
    <w:rsid w:val="00CE345C"/>
    <w:rsid w:val="00CE4B3E"/>
    <w:rsid w:val="00DB73D8"/>
    <w:rsid w:val="00DD3200"/>
    <w:rsid w:val="00E36447"/>
    <w:rsid w:val="00EC0872"/>
    <w:rsid w:val="00ED3761"/>
    <w:rsid w:val="00ED774F"/>
    <w:rsid w:val="00EE6FF4"/>
    <w:rsid w:val="00F15FCC"/>
    <w:rsid w:val="00F53177"/>
    <w:rsid w:val="00FF2D44"/>
    <w:rsid w:val="1D3549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C04D6"/>
  <w15:docId w15:val="{9910875B-10F8-4DB4-9EBF-0271520E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D77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774F"/>
  </w:style>
  <w:style w:type="paragraph" w:styleId="Pidipagina">
    <w:name w:val="footer"/>
    <w:basedOn w:val="Normale"/>
    <w:link w:val="PidipaginaCarattere"/>
    <w:uiPriority w:val="99"/>
    <w:unhideWhenUsed/>
    <w:rsid w:val="00ED77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774F"/>
  </w:style>
  <w:style w:type="paragraph" w:styleId="Testofumetto">
    <w:name w:val="Balloon Text"/>
    <w:basedOn w:val="Normale"/>
    <w:link w:val="TestofumettoCarattere"/>
    <w:uiPriority w:val="99"/>
    <w:semiHidden/>
    <w:unhideWhenUsed/>
    <w:rsid w:val="00ED774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D774F"/>
    <w:rPr>
      <w:rFonts w:ascii="Tahoma" w:hAnsi="Tahoma" w:cs="Tahoma"/>
      <w:sz w:val="16"/>
      <w:szCs w:val="16"/>
    </w:rPr>
  </w:style>
  <w:style w:type="paragraph" w:styleId="Paragrafoelenco">
    <w:name w:val="List Paragraph"/>
    <w:basedOn w:val="Normale"/>
    <w:uiPriority w:val="34"/>
    <w:qFormat/>
    <w:rsid w:val="00B92101"/>
    <w:pPr>
      <w:ind w:left="720"/>
      <w:contextualSpacing/>
    </w:pPr>
  </w:style>
  <w:style w:type="paragraph" w:customStyle="1" w:styleId="TableContents">
    <w:name w:val="Table Contents"/>
    <w:basedOn w:val="Normale"/>
    <w:rsid w:val="00742286"/>
    <w:pPr>
      <w:widowControl w:val="0"/>
      <w:suppressLineNumbers/>
      <w:suppressAutoHyphens/>
      <w:spacing w:after="0" w:line="240" w:lineRule="auto"/>
    </w:pPr>
    <w:rPr>
      <w:rFonts w:ascii="Times New Roman" w:eastAsia="Droid Sans Fallback" w:hAnsi="Times New Roman" w:cs="FreeSans"/>
      <w:kern w:val="2"/>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33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8</Pages>
  <Words>1411</Words>
  <Characters>8048</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Ranzini</dc:creator>
  <cp:lastModifiedBy>Carlo Alberto Perugini</cp:lastModifiedBy>
  <cp:revision>10</cp:revision>
  <dcterms:created xsi:type="dcterms:W3CDTF">2017-06-22T11:24:00Z</dcterms:created>
  <dcterms:modified xsi:type="dcterms:W3CDTF">2017-06-27T15:46:00Z</dcterms:modified>
</cp:coreProperties>
</file>